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66" w:rsidRPr="006E3789" w:rsidRDefault="006E3789" w:rsidP="005B7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789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5B7666" w:rsidRPr="006E3789">
        <w:rPr>
          <w:rFonts w:ascii="Times New Roman" w:hAnsi="Times New Roman" w:cs="Times New Roman"/>
          <w:b/>
          <w:bCs/>
          <w:sz w:val="24"/>
          <w:szCs w:val="24"/>
        </w:rPr>
        <w:t xml:space="preserve">   по результатам проверки</w:t>
      </w:r>
    </w:p>
    <w:p w:rsidR="005B7666" w:rsidRPr="006E3789" w:rsidRDefault="005B7666" w:rsidP="005B7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78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6E3789">
        <w:rPr>
          <w:rFonts w:ascii="Times New Roman" w:hAnsi="Times New Roman" w:cs="Times New Roman"/>
          <w:b/>
          <w:bCs/>
          <w:sz w:val="24"/>
          <w:szCs w:val="24"/>
        </w:rPr>
        <w:t>унитарного предприятия «Ресурс»</w:t>
      </w:r>
    </w:p>
    <w:p w:rsidR="005B7666" w:rsidRDefault="005B7666" w:rsidP="005B7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641F23">
        <w:rPr>
          <w:rFonts w:ascii="Times New Roman" w:hAnsi="Times New Roman" w:cs="Times New Roman"/>
          <w:sz w:val="24"/>
          <w:szCs w:val="24"/>
          <w:u w:val="single"/>
        </w:rPr>
        <w:t xml:space="preserve">Основание для проведения проверки: </w:t>
      </w:r>
      <w:r w:rsidRPr="00641F23">
        <w:rPr>
          <w:rFonts w:ascii="Times New Roman" w:hAnsi="Times New Roman" w:cs="Times New Roman"/>
          <w:sz w:val="24"/>
          <w:szCs w:val="24"/>
        </w:rPr>
        <w:t xml:space="preserve">  письмо  Сергиево-Посад</w:t>
      </w:r>
      <w:r>
        <w:rPr>
          <w:rFonts w:ascii="Times New Roman" w:hAnsi="Times New Roman" w:cs="Times New Roman"/>
          <w:sz w:val="24"/>
          <w:szCs w:val="24"/>
        </w:rPr>
        <w:t>ской городской прокуратуры от 02.02.2015</w:t>
      </w:r>
      <w:r w:rsidRPr="00641F23">
        <w:rPr>
          <w:rFonts w:ascii="Times New Roman" w:hAnsi="Times New Roman" w:cs="Times New Roman"/>
          <w:sz w:val="24"/>
          <w:szCs w:val="24"/>
        </w:rPr>
        <w:t xml:space="preserve"> №8-92В-2011, Распоряжение Председателя контрольно-сче</w:t>
      </w:r>
      <w:r>
        <w:rPr>
          <w:rFonts w:ascii="Times New Roman" w:hAnsi="Times New Roman" w:cs="Times New Roman"/>
          <w:sz w:val="24"/>
          <w:szCs w:val="24"/>
        </w:rPr>
        <w:t>тной комиссии от 03.02.2014№7.</w:t>
      </w:r>
    </w:p>
    <w:p w:rsidR="005B7666" w:rsidRPr="00641F23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23">
        <w:rPr>
          <w:rFonts w:ascii="Times New Roman" w:hAnsi="Times New Roman" w:cs="Times New Roman"/>
          <w:sz w:val="24"/>
          <w:szCs w:val="24"/>
          <w:u w:val="single"/>
        </w:rPr>
        <w:t>2. Объект проверки: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F23">
        <w:rPr>
          <w:rFonts w:ascii="Times New Roman" w:hAnsi="Times New Roman" w:cs="Times New Roman"/>
          <w:sz w:val="24"/>
          <w:szCs w:val="24"/>
        </w:rPr>
        <w:t>Муниципальное унитарное предприятие «Ресурс».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F23">
        <w:rPr>
          <w:rFonts w:ascii="Times New Roman" w:hAnsi="Times New Roman" w:cs="Times New Roman"/>
          <w:sz w:val="24"/>
          <w:szCs w:val="24"/>
          <w:u w:val="single"/>
        </w:rPr>
        <w:t>3. Предмет проверки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Учредительные документы. Бухгалтерские документы. Договора с покупателями и заказчиками, поставщиками услуг.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Первичные документы по поступлению платежей населения (касса, банк), Распоряжения Комитета по ценам и тарифам Московской области «об установлении тарифов в сфере теплоснабжения», «об установлении тарифов на услуги в сфере холодного водоснабжения, водоотведения и водоотведения для организаций водопроводно-канализационного хозяйства», «об установлении  тарифов на горячую воду» и калькуляции расходов по ним, План финансово-хозяйственной  деятельности МУП «Ресурс» на 2014 г.</w:t>
      </w:r>
      <w:proofErr w:type="gramEnd"/>
    </w:p>
    <w:p w:rsidR="005B7666" w:rsidRPr="003A0514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96">
        <w:rPr>
          <w:rFonts w:ascii="Times New Roman" w:hAnsi="Times New Roman" w:cs="Times New Roman"/>
          <w:sz w:val="24"/>
          <w:szCs w:val="24"/>
          <w:u w:val="single"/>
        </w:rPr>
        <w:t>4. Цель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проверки: </w:t>
      </w:r>
      <w:r>
        <w:rPr>
          <w:rFonts w:ascii="Times New Roman" w:hAnsi="Times New Roman" w:cs="Times New Roman"/>
          <w:sz w:val="24"/>
          <w:szCs w:val="24"/>
        </w:rPr>
        <w:t xml:space="preserve"> Анализ финансово-хозяйственной деятельности МУП «Ресурс» за  2014 г.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96">
        <w:rPr>
          <w:rFonts w:ascii="Times New Roman" w:hAnsi="Times New Roman" w:cs="Times New Roman"/>
          <w:sz w:val="24"/>
          <w:szCs w:val="24"/>
          <w:u w:val="single"/>
        </w:rPr>
        <w:t>5. Проверка проведена</w:t>
      </w:r>
      <w:r>
        <w:rPr>
          <w:rFonts w:ascii="Times New Roman" w:hAnsi="Times New Roman" w:cs="Times New Roman"/>
          <w:sz w:val="24"/>
          <w:szCs w:val="24"/>
        </w:rPr>
        <w:t xml:space="preserve">: инспекторами Контрольно-счетной комиссии Сергиево-Посадского муниципального района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Закомолкиной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696">
        <w:rPr>
          <w:rFonts w:ascii="Times New Roman" w:hAnsi="Times New Roman" w:cs="Times New Roman"/>
          <w:sz w:val="24"/>
          <w:szCs w:val="24"/>
          <w:u w:val="single"/>
        </w:rPr>
        <w:t>6. Проверяемый период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2014 г.</w:t>
      </w: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«Ресурс» создано в соответствии с  Постановлением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 от 0407.2011№435. От имени поселения функции Учредителя осуществляет Администрация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действующая на основании Устава сельского поселения.</w:t>
      </w: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Юридический адрес предприятия: 141357, Московская область, Сергиево-Посадский р-н, пос. Березняки, д.101 «а».</w:t>
      </w: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МУП «Ресурс» является юридическим лицом, имеет обособленное имущество, самостоятельный баланс, расчетный счет и иные счета в учреждениях банков, печать со своим наименованием, бланки, фирменное наименование, товарный знак (знак обслуживания). Предприятие осуществляет свою деятельность в соответствии с законодательством  Российской Федерации, законодательством Московской области и нормативными правовыми  актами органов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Свидетельства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юридического лица  предприятие поставлено на учет в Федеральной налоговой службе за ОГРН  №1115042005320 от 25.07.2011г., серия 50 № 012624632, Свидетельство о внесении записи в ЕГРЮЛ за №2125042047128 от 22.10.2012г., серия 50 №013227006.</w:t>
      </w:r>
    </w:p>
    <w:p w:rsidR="005B7666" w:rsidRPr="00AB0237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237">
        <w:rPr>
          <w:rFonts w:ascii="Times New Roman" w:hAnsi="Times New Roman" w:cs="Times New Roman"/>
          <w:sz w:val="24"/>
          <w:szCs w:val="24"/>
        </w:rPr>
        <w:t xml:space="preserve">Согласно Свидетельства </w:t>
      </w:r>
      <w:proofErr w:type="gramStart"/>
      <w:r w:rsidRPr="00AB0237">
        <w:rPr>
          <w:rFonts w:ascii="Times New Roman" w:hAnsi="Times New Roman" w:cs="Times New Roman"/>
          <w:sz w:val="24"/>
          <w:szCs w:val="24"/>
        </w:rPr>
        <w:t>о постановке на учет Российской организации в налоговом органе по месту нахождения на территории</w:t>
      </w:r>
      <w:proofErr w:type="gramEnd"/>
      <w:r w:rsidRPr="00AB0237">
        <w:rPr>
          <w:rFonts w:ascii="Times New Roman" w:hAnsi="Times New Roman" w:cs="Times New Roman"/>
          <w:sz w:val="24"/>
          <w:szCs w:val="24"/>
        </w:rPr>
        <w:t xml:space="preserve"> РФ  серии 50 №012669557 от 25.07.2011г. предприятию  присвоен ИНН/КПП 5042120228/504204001. </w:t>
      </w:r>
    </w:p>
    <w:p w:rsidR="005B7666" w:rsidRPr="00641F23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Предприятие является коммерческой организацией и несет ответственность, установленную законодательством Российской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Федерации, за результаты своей производственно-хозяйственной  и финансовой деятельности и выполнение обязательств перед собственником имущества, потребителями, бюджетом, банками и другими юридическими и физическими лицами.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Целями создания предприятия являются выполнение работ, производство продукции, оказание услуг, выполнение социально-экономических заказов, удовлетворение общественных потребностей и получение прибыли. </w:t>
      </w:r>
    </w:p>
    <w:p w:rsidR="005B7666" w:rsidRPr="004C424C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424C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4C424C">
        <w:rPr>
          <w:rFonts w:ascii="Times New Roman" w:hAnsi="Times New Roman" w:cs="Times New Roman"/>
          <w:sz w:val="24"/>
          <w:szCs w:val="24"/>
        </w:rPr>
        <w:t xml:space="preserve"> Главы сельского поселения </w:t>
      </w:r>
      <w:proofErr w:type="spellStart"/>
      <w:r w:rsidRPr="004C424C"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 w:rsidRPr="004C424C">
        <w:rPr>
          <w:rFonts w:ascii="Times New Roman" w:hAnsi="Times New Roman" w:cs="Times New Roman"/>
          <w:sz w:val="24"/>
          <w:szCs w:val="24"/>
        </w:rPr>
        <w:t xml:space="preserve"> № 268 от 14.11.2013г.   Баранов В.А. являлся  исполняющим обязанности директора предприятия. Далее Постановлением  Главы  сельского поселения </w:t>
      </w:r>
      <w:proofErr w:type="spellStart"/>
      <w:r w:rsidRPr="004C424C"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 w:rsidRPr="004C424C">
        <w:rPr>
          <w:rFonts w:ascii="Times New Roman" w:hAnsi="Times New Roman" w:cs="Times New Roman"/>
          <w:sz w:val="24"/>
          <w:szCs w:val="24"/>
        </w:rPr>
        <w:t xml:space="preserve"> №130 от 22.05.2014г. назначен на должность директора  МУП «Ресурс»  с 22.05.2014г. Петров В.Ю.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1DA">
        <w:rPr>
          <w:rFonts w:ascii="Times New Roman" w:hAnsi="Times New Roman" w:cs="Times New Roman"/>
          <w:sz w:val="24"/>
          <w:szCs w:val="24"/>
        </w:rPr>
        <w:lastRenderedPageBreak/>
        <w:t xml:space="preserve">          В период с 01.11.2013г. по настоящее время главным бухгалтером  является </w:t>
      </w:r>
      <w:proofErr w:type="spellStart"/>
      <w:r w:rsidRPr="004171DA">
        <w:rPr>
          <w:rFonts w:ascii="Times New Roman" w:hAnsi="Times New Roman" w:cs="Times New Roman"/>
          <w:sz w:val="24"/>
          <w:szCs w:val="24"/>
        </w:rPr>
        <w:t>Калакин</w:t>
      </w:r>
      <w:proofErr w:type="spellEnd"/>
      <w:r w:rsidRPr="004171DA">
        <w:rPr>
          <w:rFonts w:ascii="Times New Roman" w:hAnsi="Times New Roman" w:cs="Times New Roman"/>
          <w:sz w:val="24"/>
          <w:szCs w:val="24"/>
        </w:rPr>
        <w:t xml:space="preserve"> Р.С. (приказ директора №30/к от 01.11.2013г.).  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 момент проведения проверки на предприятии действует Устав, утвержденный постановлением  от 16.08.2011 г. №571.  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Для достижения указанных целей Предприятие, в соответствии с Уставом п.3 осуществляет следующие виды деятельности: </w:t>
      </w:r>
    </w:p>
    <w:p w:rsidR="005B7666" w:rsidRPr="004171DA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171DA">
        <w:rPr>
          <w:rFonts w:ascii="Times New Roman" w:hAnsi="Times New Roman" w:cs="Times New Roman"/>
          <w:sz w:val="24"/>
          <w:szCs w:val="24"/>
        </w:rPr>
        <w:t xml:space="preserve">содержание и эксплуатация, принятых на баланс Предприятия, объектов жилищно-коммунального хозяйства; 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171DA">
        <w:rPr>
          <w:rFonts w:ascii="Times New Roman" w:hAnsi="Times New Roman" w:cs="Times New Roman"/>
          <w:sz w:val="24"/>
          <w:szCs w:val="24"/>
        </w:rPr>
        <w:t xml:space="preserve">- </w:t>
      </w:r>
      <w:r w:rsidRPr="00C144DB">
        <w:rPr>
          <w:rFonts w:ascii="Times New Roman" w:hAnsi="Times New Roman" w:cs="Times New Roman"/>
          <w:i/>
          <w:iCs/>
          <w:sz w:val="24"/>
          <w:szCs w:val="24"/>
        </w:rPr>
        <w:t xml:space="preserve">выполнение работ по текущему и капитальному ремонту объектов жилого фонда и инженерной инфраструктуры, выполнение режимных и пусконаладочных работ, профилактическое  обслуживание, реконструкция и техническое перевооружение производственных фондов; 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 xml:space="preserve">- передача электроэнергии, распределение электроэнергии; 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производство, передача и распределение пара и горячей воды, в том числе котельными;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 xml:space="preserve">- обеспечение работоспособности котельных и тепловых сетей; 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распределение воды;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эксплуатация газовых установок и оборудования;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оказание транспортных услуг, содержание автохозяйства;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эксплуатация сетей водоснабжения, водоотведения;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эксплуатация водозаборных сетей;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вывоз твердых отходов, а также других отходов, образующихся в результате производственно-хозяйственной деятельности;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эксплуатация водозаборных сетей;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эксплуатация канализационных насосных станций;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эксплуатация очистных сооружений;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выдача технических условий по водоснабжению и канализации;</w:t>
      </w:r>
    </w:p>
    <w:p w:rsidR="005B7666" w:rsidRPr="00C144DB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44DB">
        <w:rPr>
          <w:rFonts w:ascii="Times New Roman" w:hAnsi="Times New Roman" w:cs="Times New Roman"/>
          <w:i/>
          <w:iCs/>
          <w:sz w:val="24"/>
          <w:szCs w:val="24"/>
        </w:rPr>
        <w:t>- оказание платных услуг по ремонту систем водоснабжения и водоотведения предприятиям, организациям, населению;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систем водоснабжения и водоотведения для юридических и физических лиц;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торгово-коммерческая деятельность без ущерба основной деятельности производства;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проектных работ;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строительных материалов, конструкций, изделий;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строительно-монтажных работ;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отлов безнадзорных животных;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посреднических услуг при покупке, продаже и аренде недвижимого имущества;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удаление сточных вод, отходов и аналогичная деятельность;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персональных услуг;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похорон и предоставление связанных с ними услуг;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денежных ссуд;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покупка, продажа и аренда недвижимого имущества;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зданий и сооружений;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общестроительных работ;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дорог и спортивных дорог;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прочих строительных работ;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производство отделочных работ;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платных и коммерческих услуг населению и предприятиям.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Уставный фонд МУП «Ресурс», определенный  пунктом 4.4. действующего Устава, полностью сформирован в сумме 3 600,0 тыс. руб. и отражен в балансе предприятия по состоянию на 01.01.2014г.</w:t>
      </w:r>
    </w:p>
    <w:p w:rsidR="005B7666" w:rsidRPr="004E3562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D2A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     </w:t>
      </w:r>
      <w:r w:rsidRPr="004E3562">
        <w:rPr>
          <w:rFonts w:ascii="Times New Roman" w:hAnsi="Times New Roman" w:cs="Times New Roman"/>
          <w:sz w:val="24"/>
          <w:szCs w:val="24"/>
        </w:rPr>
        <w:t xml:space="preserve">Администрация  на основании постановления Главы сельского поселения </w:t>
      </w:r>
      <w:proofErr w:type="spellStart"/>
      <w:r w:rsidRPr="004E3562"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 w:rsidRPr="004E3562">
        <w:rPr>
          <w:rFonts w:ascii="Times New Roman" w:hAnsi="Times New Roman" w:cs="Times New Roman"/>
          <w:sz w:val="24"/>
          <w:szCs w:val="24"/>
        </w:rPr>
        <w:t xml:space="preserve"> от 27.07.2011г. №507 «О передаче имущества в хозяйственное ведение», закрепляет  за Предприятием на праве хозяйственного ведения недвижимое имущество (Приложение №1 к договору), движимое имущество, согласно Перечню объектов движимого имущества (Приложение №2 к договору). В </w:t>
      </w:r>
      <w:r>
        <w:rPr>
          <w:rFonts w:ascii="Times New Roman" w:hAnsi="Times New Roman" w:cs="Times New Roman"/>
          <w:sz w:val="24"/>
          <w:szCs w:val="24"/>
        </w:rPr>
        <w:t>течение</w:t>
      </w:r>
      <w:r w:rsidRPr="004E3562">
        <w:rPr>
          <w:rFonts w:ascii="Times New Roman" w:hAnsi="Times New Roman" w:cs="Times New Roman"/>
          <w:sz w:val="24"/>
          <w:szCs w:val="24"/>
        </w:rPr>
        <w:t xml:space="preserve"> года имущество несколько раз было передано   в Администрацию сельского  поселения </w:t>
      </w:r>
      <w:proofErr w:type="spellStart"/>
      <w:r w:rsidRPr="004E3562"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 w:rsidRPr="004E3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(Постановление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26.08.2014 №215 «Об изъятии имущества в муниципальную казну») </w:t>
      </w:r>
      <w:r w:rsidRPr="004E3562">
        <w:rPr>
          <w:rFonts w:ascii="Times New Roman" w:hAnsi="Times New Roman" w:cs="Times New Roman"/>
          <w:sz w:val="24"/>
          <w:szCs w:val="24"/>
        </w:rPr>
        <w:t>и обратно в МУП «</w:t>
      </w:r>
      <w:proofErr w:type="spellStart"/>
      <w:r w:rsidRPr="004E3562">
        <w:rPr>
          <w:rFonts w:ascii="Times New Roman" w:hAnsi="Times New Roman" w:cs="Times New Roman"/>
          <w:sz w:val="24"/>
          <w:szCs w:val="24"/>
        </w:rPr>
        <w:t>Ресур</w:t>
      </w:r>
      <w:proofErr w:type="spellEnd"/>
      <w:r w:rsidRPr="004E3562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4E3562">
        <w:rPr>
          <w:rFonts w:ascii="Times New Roman" w:hAnsi="Times New Roman" w:cs="Times New Roman"/>
          <w:sz w:val="24"/>
          <w:szCs w:val="24"/>
        </w:rPr>
        <w:t>согласно Договора</w:t>
      </w:r>
      <w:proofErr w:type="gramEnd"/>
      <w:r w:rsidRPr="004E3562">
        <w:rPr>
          <w:rFonts w:ascii="Times New Roman" w:hAnsi="Times New Roman" w:cs="Times New Roman"/>
          <w:sz w:val="24"/>
          <w:szCs w:val="24"/>
        </w:rPr>
        <w:t xml:space="preserve"> безвозмездного пользования имуществом от 01.09.2014г. и дополнительными соглашениями к нему от 30.11.2014г.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562">
        <w:rPr>
          <w:rFonts w:ascii="Times New Roman" w:hAnsi="Times New Roman" w:cs="Times New Roman"/>
          <w:sz w:val="24"/>
          <w:szCs w:val="24"/>
        </w:rPr>
        <w:t xml:space="preserve"> </w:t>
      </w:r>
      <w:r w:rsidRPr="004E3562">
        <w:rPr>
          <w:rFonts w:ascii="Times New Roman" w:hAnsi="Times New Roman" w:cs="Times New Roman"/>
          <w:sz w:val="24"/>
          <w:szCs w:val="24"/>
        </w:rPr>
        <w:tab/>
        <w:t>МУП «Ресурс» имеет Свидетельство о регистрации опасных производственных</w:t>
      </w:r>
      <w:r w:rsidRPr="004171DA">
        <w:rPr>
          <w:rFonts w:ascii="Times New Roman" w:hAnsi="Times New Roman" w:cs="Times New Roman"/>
          <w:sz w:val="24"/>
          <w:szCs w:val="24"/>
        </w:rPr>
        <w:t xml:space="preserve"> объектов (система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Установка резервуарная д. Березняки,</w:t>
      </w:r>
      <w:r w:rsidRPr="004171DA">
        <w:rPr>
          <w:rFonts w:ascii="Times New Roman" w:hAnsi="Times New Roman" w:cs="Times New Roman"/>
          <w:sz w:val="24"/>
          <w:szCs w:val="24"/>
        </w:rPr>
        <w:t xml:space="preserve"> Установка резервуарная</w:t>
      </w: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Бужаниново</w:t>
      </w:r>
      <w:proofErr w:type="spellEnd"/>
      <w:r w:rsidRPr="004171DA">
        <w:rPr>
          <w:rFonts w:ascii="Times New Roman" w:hAnsi="Times New Roman" w:cs="Times New Roman"/>
          <w:sz w:val="24"/>
          <w:szCs w:val="24"/>
        </w:rPr>
        <w:t>), эксплуатируемых указанной организацией,</w:t>
      </w:r>
      <w:r>
        <w:rPr>
          <w:rFonts w:ascii="Times New Roman" w:hAnsi="Times New Roman" w:cs="Times New Roman"/>
          <w:sz w:val="24"/>
          <w:szCs w:val="24"/>
        </w:rPr>
        <w:t xml:space="preserve"> от  01.10</w:t>
      </w:r>
      <w:r w:rsidRPr="004171DA">
        <w:rPr>
          <w:rFonts w:ascii="Times New Roman" w:hAnsi="Times New Roman" w:cs="Times New Roman"/>
          <w:sz w:val="24"/>
          <w:szCs w:val="24"/>
        </w:rPr>
        <w:t>.2013 года   № А</w:t>
      </w:r>
      <w:r>
        <w:rPr>
          <w:rFonts w:ascii="Times New Roman" w:hAnsi="Times New Roman" w:cs="Times New Roman"/>
          <w:sz w:val="24"/>
          <w:szCs w:val="24"/>
        </w:rPr>
        <w:t>02-90112.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письму от 26.07.2011№16/215-1234 Отдела государственной статистики в Сергиево-Посадском районе, МУП «Ресурс» включил в свой состав дополнительные коды ОКВЭД, в том числе: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передача</w:t>
      </w:r>
      <w:r w:rsidRPr="004171DA">
        <w:rPr>
          <w:rFonts w:ascii="Times New Roman" w:hAnsi="Times New Roman" w:cs="Times New Roman"/>
          <w:sz w:val="24"/>
          <w:szCs w:val="24"/>
        </w:rPr>
        <w:t xml:space="preserve"> пара и горячей воды </w:t>
      </w:r>
      <w:r>
        <w:rPr>
          <w:rFonts w:ascii="Times New Roman" w:hAnsi="Times New Roman" w:cs="Times New Roman"/>
          <w:sz w:val="24"/>
          <w:szCs w:val="24"/>
        </w:rPr>
        <w:t xml:space="preserve"> (тепловой энергии);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распределение пара и горячей воды (тепловой энергии);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по обеспечению работоспособности котельных;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деятельность по обеспечению работоспособности тепловых сетей;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распределение воды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7666" w:rsidRPr="008D3AC9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п.12 ч.1 ст.12 Федерального закона от 04.05.2011 №99-ФЗ «О лицензировании отдельных видов деятельности» эксплуатация взрывопожароопасных и химически опасных производственных объектов </w:t>
      </w:r>
      <w:r w:rsidRPr="0059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966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9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966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классов подлежит лицензированию. Также, в соответствии со ст.9, Федерального закона от 21.07.1997 №116 (в ред. от 02.07.2013) «О промышленной безопасности опасных производственных объектов», организация, эксплуатирующая опасный производственный объект, </w:t>
      </w:r>
      <w:r w:rsidRPr="007106B0">
        <w:rPr>
          <w:rFonts w:ascii="Times New Roman" w:hAnsi="Times New Roman" w:cs="Times New Roman"/>
          <w:sz w:val="24"/>
          <w:szCs w:val="24"/>
          <w:u w:val="single"/>
        </w:rPr>
        <w:t>обязана иметь лицензию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конкретного вида деятельности в области промышленной безопасности, подлежащего лицензированию в соответствии с законодательством Российской Федерации.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F6624">
        <w:rPr>
          <w:rFonts w:ascii="Times New Roman" w:hAnsi="Times New Roman" w:cs="Times New Roman"/>
          <w:sz w:val="24"/>
          <w:szCs w:val="24"/>
          <w:u w:val="single"/>
        </w:rPr>
        <w:t>Лицензии на осуществление указанных видов деятельности проверке  не представлены.</w:t>
      </w: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тепловой энергии в 2014</w:t>
      </w:r>
      <w:r w:rsidRPr="008D3AC9">
        <w:rPr>
          <w:rFonts w:ascii="Times New Roman" w:hAnsi="Times New Roman" w:cs="Times New Roman"/>
          <w:sz w:val="24"/>
          <w:szCs w:val="24"/>
        </w:rPr>
        <w:t xml:space="preserve"> г. потребителям производился по тарифам, утвержденным распоряжением Комитета по ценам и </w:t>
      </w:r>
      <w:r>
        <w:rPr>
          <w:rFonts w:ascii="Times New Roman" w:hAnsi="Times New Roman" w:cs="Times New Roman"/>
          <w:sz w:val="24"/>
          <w:szCs w:val="24"/>
        </w:rPr>
        <w:t>тарифам Московской области  от 02.12.2013 г. № 139</w:t>
      </w:r>
      <w:r w:rsidRPr="008D3AC9">
        <w:rPr>
          <w:rFonts w:ascii="Times New Roman" w:hAnsi="Times New Roman" w:cs="Times New Roman"/>
          <w:sz w:val="24"/>
          <w:szCs w:val="24"/>
        </w:rPr>
        <w:t>-Р. Тариф н</w:t>
      </w:r>
      <w:r>
        <w:rPr>
          <w:rFonts w:ascii="Times New Roman" w:hAnsi="Times New Roman" w:cs="Times New Roman"/>
          <w:sz w:val="24"/>
          <w:szCs w:val="24"/>
        </w:rPr>
        <w:t>а тепловую энергию для населения  с 01.01.2014 г. по 30.06.2014</w:t>
      </w:r>
      <w:r w:rsidRPr="008D3AC9">
        <w:rPr>
          <w:rFonts w:ascii="Times New Roman" w:hAnsi="Times New Roman" w:cs="Times New Roman"/>
          <w:sz w:val="24"/>
          <w:szCs w:val="24"/>
        </w:rPr>
        <w:t xml:space="preserve"> г. состави</w:t>
      </w:r>
      <w:r>
        <w:rPr>
          <w:rFonts w:ascii="Times New Roman" w:hAnsi="Times New Roman" w:cs="Times New Roman"/>
          <w:sz w:val="24"/>
          <w:szCs w:val="24"/>
        </w:rPr>
        <w:t>л 1926,94 руб., с  01.07.2014</w:t>
      </w:r>
      <w:r w:rsidRPr="008D3AC9">
        <w:rPr>
          <w:rFonts w:ascii="Times New Roman" w:hAnsi="Times New Roman" w:cs="Times New Roman"/>
          <w:sz w:val="24"/>
          <w:szCs w:val="24"/>
        </w:rPr>
        <w:t>г. п</w:t>
      </w:r>
      <w:r>
        <w:rPr>
          <w:rFonts w:ascii="Times New Roman" w:hAnsi="Times New Roman" w:cs="Times New Roman"/>
          <w:sz w:val="24"/>
          <w:szCs w:val="24"/>
        </w:rPr>
        <w:t>о 31.12.2014 г.  – 1982,87</w:t>
      </w:r>
      <w:r w:rsidRPr="008D3AC9">
        <w:rPr>
          <w:rFonts w:ascii="Times New Roman" w:hAnsi="Times New Roman" w:cs="Times New Roman"/>
          <w:sz w:val="24"/>
          <w:szCs w:val="24"/>
        </w:rPr>
        <w:t xml:space="preserve"> руб. Рост та</w:t>
      </w:r>
      <w:r>
        <w:rPr>
          <w:rFonts w:ascii="Times New Roman" w:hAnsi="Times New Roman" w:cs="Times New Roman"/>
          <w:sz w:val="24"/>
          <w:szCs w:val="24"/>
        </w:rPr>
        <w:t>рифа  за 2014 г. составил – 2,8%</w:t>
      </w:r>
    </w:p>
    <w:p w:rsidR="005B7666" w:rsidRPr="00802947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2947">
        <w:rPr>
          <w:rFonts w:ascii="Times New Roman" w:hAnsi="Times New Roman" w:cs="Times New Roman"/>
          <w:sz w:val="24"/>
          <w:szCs w:val="24"/>
        </w:rPr>
        <w:t xml:space="preserve">  В структуре тарифа на тепловую энергию на 2013 год удельный вес расходов по элементам затрат составил:</w:t>
      </w:r>
    </w:p>
    <w:p w:rsidR="005B7666" w:rsidRPr="0073032C" w:rsidRDefault="005B7666" w:rsidP="005B766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9476" w:type="dxa"/>
        <w:tblInd w:w="-106" w:type="dxa"/>
        <w:tblLook w:val="0000" w:firstRow="0" w:lastRow="0" w:firstColumn="0" w:lastColumn="0" w:noHBand="0" w:noVBand="0"/>
      </w:tblPr>
      <w:tblGrid>
        <w:gridCol w:w="2729"/>
        <w:gridCol w:w="1395"/>
        <w:gridCol w:w="709"/>
        <w:gridCol w:w="1417"/>
        <w:gridCol w:w="993"/>
        <w:gridCol w:w="2233"/>
      </w:tblGrid>
      <w:tr w:rsidR="005B7666" w:rsidRPr="005C3C2C" w:rsidTr="00C56139">
        <w:trPr>
          <w:trHeight w:val="345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затрат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полугодие </w:t>
            </w:r>
          </w:p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(с 01.01.2014)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полугодие </w:t>
            </w:r>
          </w:p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(с 01.07.2014)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расходы за 2014</w:t>
            </w: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B7666" w:rsidRPr="005C3C2C" w:rsidTr="00C56139">
        <w:trPr>
          <w:trHeight w:val="255"/>
        </w:trPr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B7666" w:rsidRPr="005C3C2C" w:rsidTr="00C56139">
        <w:trPr>
          <w:trHeight w:val="63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Материалы на </w:t>
            </w:r>
            <w:proofErr w:type="spellStart"/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технгологические</w:t>
            </w:r>
            <w:proofErr w:type="spellEnd"/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нужды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AE18B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  <w:p w:rsidR="005B7666" w:rsidRPr="00AE18B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  <w:p w:rsidR="005B7666" w:rsidRPr="003C18FB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858,3</w:t>
            </w:r>
          </w:p>
        </w:tc>
      </w:tr>
      <w:tr w:rsidR="005B7666" w:rsidRPr="005C3C2C" w:rsidTr="00C56139">
        <w:trPr>
          <w:trHeight w:val="54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Топливо на технологические нужды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40228,1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41715,7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AE18B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  <w:p w:rsidR="005B7666" w:rsidRPr="003C18FB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30463,7</w:t>
            </w:r>
          </w:p>
        </w:tc>
      </w:tr>
      <w:tr w:rsidR="005B7666" w:rsidRPr="005C3C2C" w:rsidTr="00C56139">
        <w:trPr>
          <w:trHeight w:val="40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9430,5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3C18FB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7517,4</w:t>
            </w:r>
          </w:p>
        </w:tc>
      </w:tr>
      <w:tr w:rsidR="005B7666" w:rsidRPr="005C3C2C" w:rsidTr="00C56139">
        <w:trPr>
          <w:trHeight w:val="40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5 112,3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6 043,4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3C18FB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18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15393,2</w:t>
            </w:r>
          </w:p>
        </w:tc>
      </w:tr>
      <w:tr w:rsidR="005B7666" w:rsidRPr="005C3C2C" w:rsidTr="00C56139">
        <w:trPr>
          <w:trHeight w:val="36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Начисления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D57DED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D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4638,6</w:t>
            </w:r>
          </w:p>
        </w:tc>
      </w:tr>
      <w:tr w:rsidR="005B7666" w:rsidRPr="005C3C2C" w:rsidTr="00C56139">
        <w:trPr>
          <w:trHeight w:val="45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7754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54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493,3</w:t>
            </w:r>
          </w:p>
        </w:tc>
      </w:tr>
      <w:tr w:rsidR="005B7666" w:rsidRPr="005C3C2C" w:rsidTr="00C56139">
        <w:trPr>
          <w:trHeight w:val="51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текущий и капитальный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AE18B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  <w:p w:rsidR="005B7666" w:rsidRPr="00C67FC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854,1</w:t>
            </w:r>
          </w:p>
        </w:tc>
      </w:tr>
      <w:tr w:rsidR="005B7666" w:rsidRPr="005C3C2C" w:rsidTr="00C56139">
        <w:trPr>
          <w:trHeight w:val="39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E11C97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Цеховые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C67FC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1455,3</w:t>
            </w:r>
          </w:p>
        </w:tc>
      </w:tr>
      <w:tr w:rsidR="005B7666" w:rsidRPr="005C3C2C" w:rsidTr="00C56139">
        <w:trPr>
          <w:trHeight w:val="39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эксплуатационные</w:t>
            </w:r>
            <w:proofErr w:type="spellEnd"/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940,2</w:t>
            </w:r>
          </w:p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1C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394,1</w:t>
            </w:r>
          </w:p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E11C97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C67FC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7F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5650,8</w:t>
            </w:r>
          </w:p>
          <w:p w:rsidR="005B7666" w:rsidRPr="00AE18B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5B7666" w:rsidRPr="005C3C2C" w:rsidTr="00C56139">
        <w:trPr>
          <w:trHeight w:val="390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F93A13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77 559,2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79 658,5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9C7881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67321,7</w:t>
            </w:r>
          </w:p>
        </w:tc>
      </w:tr>
      <w:tr w:rsidR="005B7666" w:rsidRPr="005C3C2C" w:rsidTr="00C56139">
        <w:trPr>
          <w:trHeight w:val="435"/>
        </w:trPr>
        <w:tc>
          <w:tcPr>
            <w:tcW w:w="2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F93A13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себестоимость по тарифу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9C7881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8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78610,35</w:t>
            </w:r>
          </w:p>
        </w:tc>
      </w:tr>
    </w:tbl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666" w:rsidRPr="00074EC2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EC2">
        <w:rPr>
          <w:rFonts w:ascii="Times New Roman" w:hAnsi="Times New Roman" w:cs="Times New Roman"/>
          <w:sz w:val="24"/>
          <w:szCs w:val="24"/>
        </w:rPr>
        <w:t>Согласно данн</w:t>
      </w:r>
      <w:r>
        <w:rPr>
          <w:rFonts w:ascii="Times New Roman" w:hAnsi="Times New Roman" w:cs="Times New Roman"/>
          <w:sz w:val="24"/>
          <w:szCs w:val="24"/>
        </w:rPr>
        <w:t>ым бухгалтерского учета за 2014г.</w:t>
      </w:r>
      <w:r w:rsidRPr="00074EC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4EC2">
        <w:rPr>
          <w:rFonts w:ascii="Times New Roman" w:hAnsi="Times New Roman" w:cs="Times New Roman"/>
          <w:sz w:val="24"/>
          <w:szCs w:val="24"/>
        </w:rPr>
        <w:t>оборо</w:t>
      </w:r>
      <w:r>
        <w:rPr>
          <w:rFonts w:ascii="Times New Roman" w:hAnsi="Times New Roman" w:cs="Times New Roman"/>
          <w:sz w:val="24"/>
          <w:szCs w:val="24"/>
        </w:rPr>
        <w:t>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-сальдовая  ведомость за 2014 год, сводные проводки за 2014</w:t>
      </w:r>
      <w:r w:rsidRPr="00074EC2">
        <w:rPr>
          <w:rFonts w:ascii="Times New Roman" w:hAnsi="Times New Roman" w:cs="Times New Roman"/>
          <w:sz w:val="24"/>
          <w:szCs w:val="24"/>
        </w:rPr>
        <w:t xml:space="preserve"> год, первичные документы), фактические расходы  по теплоснабжению на котельную п. Березняки, </w:t>
      </w:r>
      <w:proofErr w:type="spellStart"/>
      <w:r w:rsidRPr="00074EC2">
        <w:rPr>
          <w:rFonts w:ascii="Times New Roman" w:hAnsi="Times New Roman" w:cs="Times New Roman"/>
          <w:sz w:val="24"/>
          <w:szCs w:val="24"/>
        </w:rPr>
        <w:t>Бужаниново</w:t>
      </w:r>
      <w:proofErr w:type="spellEnd"/>
      <w:r w:rsidRPr="00074EC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 Путятино составили 67 321,7</w:t>
      </w:r>
      <w:r w:rsidRPr="0007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4EC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74EC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74EC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74EC2">
        <w:rPr>
          <w:rFonts w:ascii="Times New Roman" w:hAnsi="Times New Roman" w:cs="Times New Roman"/>
          <w:sz w:val="24"/>
          <w:szCs w:val="24"/>
        </w:rPr>
        <w:t xml:space="preserve">., что 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Pr="00074EC2">
        <w:rPr>
          <w:rFonts w:ascii="Times New Roman" w:hAnsi="Times New Roman" w:cs="Times New Roman"/>
          <w:sz w:val="24"/>
          <w:szCs w:val="24"/>
        </w:rPr>
        <w:t>превышае</w:t>
      </w:r>
      <w:r>
        <w:rPr>
          <w:rFonts w:ascii="Times New Roman" w:hAnsi="Times New Roman" w:cs="Times New Roman"/>
          <w:sz w:val="24"/>
          <w:szCs w:val="24"/>
        </w:rPr>
        <w:t xml:space="preserve">т  среднюю себестоимость тарифа. </w:t>
      </w:r>
    </w:p>
    <w:p w:rsidR="005B7666" w:rsidRPr="00802947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горячей воды в 2014</w:t>
      </w:r>
      <w:r w:rsidRPr="00802947">
        <w:rPr>
          <w:rFonts w:ascii="Times New Roman" w:hAnsi="Times New Roman" w:cs="Times New Roman"/>
          <w:sz w:val="24"/>
          <w:szCs w:val="24"/>
        </w:rPr>
        <w:t>г. потребителям производился по тарифам, утвержденным распоряжением Комитета по ценам и тарифам  Московской области о</w:t>
      </w:r>
      <w:r>
        <w:rPr>
          <w:rFonts w:ascii="Times New Roman" w:hAnsi="Times New Roman" w:cs="Times New Roman"/>
          <w:sz w:val="24"/>
          <w:szCs w:val="24"/>
        </w:rPr>
        <w:t>т 20.12.2013 г. № 151-Р.</w:t>
      </w:r>
      <w:r w:rsidRPr="00802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 же, в соответствии с Постановлением Главы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15.02.2010г.№168 пунктом 4, утвержден норматив потребления тепловой энергии  на горячее водоснабжение на подогрев холодной воды на 1 человека в месяц – 0,55 </w:t>
      </w:r>
      <w:proofErr w:type="spellStart"/>
      <w:r>
        <w:rPr>
          <w:rFonts w:ascii="Times New Roman" w:hAnsi="Times New Roman" w:cs="Times New Roman"/>
          <w:sz w:val="24"/>
          <w:szCs w:val="24"/>
        </w:rPr>
        <w:t>Гккал</w:t>
      </w:r>
      <w:proofErr w:type="spellEnd"/>
      <w:r>
        <w:rPr>
          <w:rFonts w:ascii="Times New Roman" w:hAnsi="Times New Roman" w:cs="Times New Roman"/>
          <w:sz w:val="24"/>
          <w:szCs w:val="24"/>
        </w:rPr>
        <w:t>./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  <w:r w:rsidRPr="00802947">
        <w:rPr>
          <w:rFonts w:ascii="Times New Roman" w:hAnsi="Times New Roman" w:cs="Times New Roman"/>
          <w:sz w:val="24"/>
          <w:szCs w:val="24"/>
        </w:rPr>
        <w:t>Тариф на горячую воду</w:t>
      </w:r>
      <w:r>
        <w:rPr>
          <w:rFonts w:ascii="Times New Roman" w:hAnsi="Times New Roman" w:cs="Times New Roman"/>
          <w:sz w:val="24"/>
          <w:szCs w:val="24"/>
        </w:rPr>
        <w:t xml:space="preserve"> для населения </w:t>
      </w:r>
      <w:r w:rsidRPr="00802947">
        <w:rPr>
          <w:rFonts w:ascii="Times New Roman" w:hAnsi="Times New Roman" w:cs="Times New Roman"/>
          <w:sz w:val="24"/>
          <w:szCs w:val="24"/>
        </w:rPr>
        <w:t xml:space="preserve">  с 01.01.2013 г.</w:t>
      </w:r>
      <w:r>
        <w:rPr>
          <w:rFonts w:ascii="Times New Roman" w:hAnsi="Times New Roman" w:cs="Times New Roman"/>
          <w:sz w:val="24"/>
          <w:szCs w:val="24"/>
        </w:rPr>
        <w:t xml:space="preserve"> по 30.06.2013 г. составил 125,14</w:t>
      </w:r>
      <w:r w:rsidRPr="00802947">
        <w:rPr>
          <w:rFonts w:ascii="Times New Roman" w:hAnsi="Times New Roman" w:cs="Times New Roman"/>
          <w:sz w:val="24"/>
          <w:szCs w:val="24"/>
        </w:rPr>
        <w:t xml:space="preserve"> руб., с 01.07.20</w:t>
      </w:r>
      <w:r>
        <w:rPr>
          <w:rFonts w:ascii="Times New Roman" w:hAnsi="Times New Roman" w:cs="Times New Roman"/>
          <w:sz w:val="24"/>
          <w:szCs w:val="24"/>
        </w:rPr>
        <w:t>13 г. по 31.12.2013 г.  – 129,12 руб</w:t>
      </w:r>
      <w:proofErr w:type="gramEnd"/>
      <w:r>
        <w:rPr>
          <w:rFonts w:ascii="Times New Roman" w:hAnsi="Times New Roman" w:cs="Times New Roman"/>
          <w:sz w:val="24"/>
          <w:szCs w:val="24"/>
        </w:rPr>
        <w:t>.  Рост тарифа  за 2014 г. составил -  2,9</w:t>
      </w:r>
      <w:r w:rsidRPr="00802947">
        <w:rPr>
          <w:rFonts w:ascii="Times New Roman" w:hAnsi="Times New Roman" w:cs="Times New Roman"/>
          <w:sz w:val="24"/>
          <w:szCs w:val="24"/>
        </w:rPr>
        <w:t>%.</w:t>
      </w: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холодной воды в 2014</w:t>
      </w:r>
      <w:r w:rsidRPr="008D3AC9">
        <w:rPr>
          <w:rFonts w:ascii="Times New Roman" w:hAnsi="Times New Roman" w:cs="Times New Roman"/>
          <w:sz w:val="24"/>
          <w:szCs w:val="24"/>
        </w:rPr>
        <w:t>г. потребителям производился по тарифам, утвержден</w:t>
      </w:r>
      <w:r>
        <w:rPr>
          <w:rFonts w:ascii="Times New Roman" w:hAnsi="Times New Roman" w:cs="Times New Roman"/>
          <w:sz w:val="24"/>
          <w:szCs w:val="24"/>
        </w:rPr>
        <w:t>ным распоряжением Комитета по ценам и тарифам  Московской области от 19.12.2013 г. № 150</w:t>
      </w:r>
      <w:r w:rsidRPr="008D3AC9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>. Тариф на холодную воду  с 01.01.2014 г. по 30.06.2014</w:t>
      </w:r>
      <w:r w:rsidRPr="008D3AC9">
        <w:rPr>
          <w:rFonts w:ascii="Times New Roman" w:hAnsi="Times New Roman" w:cs="Times New Roman"/>
          <w:sz w:val="24"/>
          <w:szCs w:val="24"/>
        </w:rPr>
        <w:t xml:space="preserve"> г. составил </w:t>
      </w:r>
      <w:r>
        <w:rPr>
          <w:rFonts w:ascii="Times New Roman" w:hAnsi="Times New Roman" w:cs="Times New Roman"/>
          <w:sz w:val="24"/>
          <w:szCs w:val="24"/>
        </w:rPr>
        <w:t>19,15</w:t>
      </w:r>
      <w:r w:rsidRPr="008D3AC9">
        <w:rPr>
          <w:rFonts w:ascii="Times New Roman" w:hAnsi="Times New Roman" w:cs="Times New Roman"/>
          <w:sz w:val="24"/>
          <w:szCs w:val="24"/>
        </w:rPr>
        <w:t xml:space="preserve"> руб., с 01.07.20</w:t>
      </w:r>
      <w:r>
        <w:rPr>
          <w:rFonts w:ascii="Times New Roman" w:hAnsi="Times New Roman" w:cs="Times New Roman"/>
          <w:sz w:val="24"/>
          <w:szCs w:val="24"/>
        </w:rPr>
        <w:t>14 г. по 31.12.2014 г.  – 20,06 руб.  Рост тарифа  за 2014 г.</w:t>
      </w:r>
      <w:r w:rsidRPr="008D3AC9">
        <w:rPr>
          <w:rFonts w:ascii="Times New Roman" w:hAnsi="Times New Roman" w:cs="Times New Roman"/>
          <w:sz w:val="24"/>
          <w:szCs w:val="24"/>
        </w:rPr>
        <w:t xml:space="preserve"> составил -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8D3AC9">
        <w:rPr>
          <w:rFonts w:ascii="Times New Roman" w:hAnsi="Times New Roman" w:cs="Times New Roman"/>
          <w:sz w:val="24"/>
          <w:szCs w:val="24"/>
        </w:rPr>
        <w:t>%.</w:t>
      </w:r>
    </w:p>
    <w:p w:rsidR="005B7666" w:rsidRPr="00802947" w:rsidRDefault="005B7666" w:rsidP="005B766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802947">
        <w:rPr>
          <w:rFonts w:ascii="Times New Roman" w:hAnsi="Times New Roman" w:cs="Times New Roman"/>
          <w:sz w:val="24"/>
          <w:szCs w:val="24"/>
          <w:lang w:eastAsia="ru-RU"/>
        </w:rPr>
        <w:t>В структуре та</w:t>
      </w:r>
      <w:r>
        <w:rPr>
          <w:rFonts w:ascii="Times New Roman" w:hAnsi="Times New Roman" w:cs="Times New Roman"/>
          <w:sz w:val="24"/>
          <w:szCs w:val="24"/>
          <w:lang w:eastAsia="ru-RU"/>
        </w:rPr>
        <w:t>рифа на   холодную воду на 2014г.</w:t>
      </w:r>
      <w:r w:rsidRPr="00802947">
        <w:rPr>
          <w:rFonts w:ascii="Times New Roman" w:hAnsi="Times New Roman" w:cs="Times New Roman"/>
          <w:sz w:val="24"/>
          <w:szCs w:val="24"/>
          <w:lang w:eastAsia="ru-RU"/>
        </w:rPr>
        <w:t xml:space="preserve"> удельный вес расходов по элементам затрат составил:</w:t>
      </w:r>
    </w:p>
    <w:p w:rsidR="005B7666" w:rsidRPr="00802947" w:rsidRDefault="005B7666" w:rsidP="005B766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76" w:type="dxa"/>
        <w:tblInd w:w="-106" w:type="dxa"/>
        <w:tblLook w:val="0000" w:firstRow="0" w:lastRow="0" w:firstColumn="0" w:lastColumn="0" w:noHBand="0" w:noVBand="0"/>
      </w:tblPr>
      <w:tblGrid>
        <w:gridCol w:w="2846"/>
        <w:gridCol w:w="1204"/>
        <w:gridCol w:w="709"/>
        <w:gridCol w:w="1417"/>
        <w:gridCol w:w="1067"/>
        <w:gridCol w:w="2233"/>
      </w:tblGrid>
      <w:tr w:rsidR="005B7666" w:rsidRPr="005C3C2C" w:rsidTr="00C56139">
        <w:trPr>
          <w:trHeight w:val="345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затрат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полугодие 2014 г.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ические расходы за 2014г.</w:t>
            </w:r>
          </w:p>
        </w:tc>
      </w:tr>
      <w:tr w:rsidR="005B7666" w:rsidRPr="005C3C2C" w:rsidTr="00C56139">
        <w:trPr>
          <w:trHeight w:val="255"/>
        </w:trPr>
        <w:tc>
          <w:tcPr>
            <w:tcW w:w="2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B7666" w:rsidRPr="005C3C2C" w:rsidTr="00C56139">
        <w:trPr>
          <w:trHeight w:val="63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(</w:t>
            </w:r>
            <w:proofErr w:type="spellStart"/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gramStart"/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еагенты</w:t>
            </w:r>
            <w:proofErr w:type="spellEnd"/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666" w:rsidRPr="005C3C2C" w:rsidTr="00C56139">
        <w:trPr>
          <w:trHeight w:val="54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672,75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672,75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3787,0</w:t>
            </w:r>
          </w:p>
        </w:tc>
      </w:tr>
      <w:tr w:rsidR="005B7666" w:rsidRPr="005C3C2C" w:rsidTr="00C56139">
        <w:trPr>
          <w:trHeight w:val="40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721,59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941,44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847,8</w:t>
            </w:r>
          </w:p>
        </w:tc>
      </w:tr>
      <w:tr w:rsidR="005B7666" w:rsidRPr="005C3C2C" w:rsidTr="00C56139">
        <w:trPr>
          <w:trHeight w:val="40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Отчисления от оплаты труда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816,48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882,43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462,9</w:t>
            </w:r>
          </w:p>
        </w:tc>
      </w:tr>
      <w:tr w:rsidR="005B7666" w:rsidRPr="005C3C2C" w:rsidTr="00C56139">
        <w:trPr>
          <w:trHeight w:val="45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Амортизация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5B7666" w:rsidRPr="005C3C2C" w:rsidTr="00C56139">
        <w:trPr>
          <w:trHeight w:val="51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  <w:proofErr w:type="gramStart"/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93,59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445,0</w:t>
            </w:r>
          </w:p>
        </w:tc>
      </w:tr>
      <w:tr w:rsidR="005B7666" w:rsidRPr="005C3C2C" w:rsidTr="00C56139">
        <w:trPr>
          <w:trHeight w:val="3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370,99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666" w:rsidRPr="005C3C2C" w:rsidTr="00C56139">
        <w:trPr>
          <w:trHeight w:val="3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Цеховые расходы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522,64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4,99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334,6</w:t>
            </w:r>
          </w:p>
        </w:tc>
      </w:tr>
      <w:tr w:rsidR="005B7666" w:rsidRPr="005C3C2C" w:rsidTr="00C56139">
        <w:trPr>
          <w:trHeight w:val="3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Общеэксплуатационные</w:t>
            </w:r>
            <w:proofErr w:type="spellEnd"/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793,24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1779,4</w:t>
            </w:r>
          </w:p>
        </w:tc>
      </w:tr>
      <w:tr w:rsidR="005B7666" w:rsidRPr="005C3C2C" w:rsidTr="00C56139">
        <w:trPr>
          <w:trHeight w:val="3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6C26D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6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сборы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48,79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6C26D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48,9</w:t>
            </w:r>
          </w:p>
        </w:tc>
      </w:tr>
      <w:tr w:rsidR="005B7666" w:rsidRPr="005C3C2C" w:rsidTr="00C56139">
        <w:trPr>
          <w:trHeight w:val="390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F93A13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93A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10474,82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12798,8</w:t>
            </w:r>
          </w:p>
        </w:tc>
      </w:tr>
      <w:tr w:rsidR="005B7666" w:rsidRPr="005C3C2C" w:rsidTr="00C56139">
        <w:trPr>
          <w:trHeight w:val="435"/>
        </w:trPr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F93A13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себестоимость по тарифу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F93A13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10254,85</w:t>
            </w:r>
          </w:p>
        </w:tc>
      </w:tr>
    </w:tbl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26DE">
        <w:rPr>
          <w:rFonts w:ascii="Times New Roman" w:hAnsi="Times New Roman" w:cs="Times New Roman"/>
          <w:sz w:val="24"/>
          <w:szCs w:val="24"/>
        </w:rPr>
        <w:t>Согласно дан</w:t>
      </w:r>
      <w:r>
        <w:rPr>
          <w:rFonts w:ascii="Times New Roman" w:hAnsi="Times New Roman" w:cs="Times New Roman"/>
          <w:sz w:val="24"/>
          <w:szCs w:val="24"/>
        </w:rPr>
        <w:t>ным бухгалтерского учета за 2014 г.</w:t>
      </w:r>
      <w:r w:rsidRPr="006C26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26DE">
        <w:rPr>
          <w:rFonts w:ascii="Times New Roman" w:hAnsi="Times New Roman" w:cs="Times New Roman"/>
          <w:sz w:val="24"/>
          <w:szCs w:val="24"/>
        </w:rPr>
        <w:t>оборо</w:t>
      </w:r>
      <w:r>
        <w:rPr>
          <w:rFonts w:ascii="Times New Roman" w:hAnsi="Times New Roman" w:cs="Times New Roman"/>
          <w:sz w:val="24"/>
          <w:szCs w:val="24"/>
        </w:rPr>
        <w:t>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-сальдовая  ведомость за 2014 год, сводные проводки за 2014 г.</w:t>
      </w:r>
      <w:r w:rsidRPr="006C26DE">
        <w:rPr>
          <w:rFonts w:ascii="Times New Roman" w:hAnsi="Times New Roman" w:cs="Times New Roman"/>
          <w:sz w:val="24"/>
          <w:szCs w:val="24"/>
        </w:rPr>
        <w:t>, первичные документы), фактические расходы  по</w:t>
      </w:r>
      <w:r>
        <w:rPr>
          <w:rFonts w:ascii="Times New Roman" w:hAnsi="Times New Roman" w:cs="Times New Roman"/>
          <w:sz w:val="24"/>
          <w:szCs w:val="24"/>
        </w:rPr>
        <w:t xml:space="preserve"> водоснабжению п. Березняки,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Бужаниново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д. Путятино составили 12 749,9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</w:p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6DE">
        <w:rPr>
          <w:rFonts w:ascii="Times New Roman" w:hAnsi="Times New Roman" w:cs="Times New Roman"/>
          <w:sz w:val="24"/>
          <w:szCs w:val="24"/>
        </w:rPr>
        <w:t>что превышает  сред</w:t>
      </w:r>
      <w:r>
        <w:rPr>
          <w:rFonts w:ascii="Times New Roman" w:hAnsi="Times New Roman" w:cs="Times New Roman"/>
          <w:sz w:val="24"/>
          <w:szCs w:val="24"/>
        </w:rPr>
        <w:t>нюю себестоимость тарифа на 20,0% или  на 2495,05</w:t>
      </w:r>
      <w:r w:rsidRPr="006C26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D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C26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C26D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C26DE">
        <w:rPr>
          <w:rFonts w:ascii="Times New Roman" w:hAnsi="Times New Roman" w:cs="Times New Roman"/>
          <w:sz w:val="24"/>
          <w:szCs w:val="24"/>
        </w:rPr>
        <w:t>.  Перерасход наблюдается по таким статьям , как :</w:t>
      </w:r>
    </w:p>
    <w:p w:rsidR="005B7666" w:rsidRPr="007317DC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317DC">
        <w:rPr>
          <w:rFonts w:ascii="Times New Roman" w:hAnsi="Times New Roman" w:cs="Times New Roman"/>
          <w:sz w:val="24"/>
          <w:szCs w:val="24"/>
        </w:rPr>
        <w:t>Оплата труда  - 42% или на 2016,29тыс</w:t>
      </w:r>
      <w:proofErr w:type="gramStart"/>
      <w:r w:rsidRPr="007317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17DC">
        <w:rPr>
          <w:rFonts w:ascii="Times New Roman" w:hAnsi="Times New Roman" w:cs="Times New Roman"/>
          <w:sz w:val="24"/>
          <w:szCs w:val="24"/>
        </w:rPr>
        <w:t>уб.</w:t>
      </w:r>
    </w:p>
    <w:p w:rsidR="005B7666" w:rsidRPr="007317DC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7DC">
        <w:rPr>
          <w:rFonts w:ascii="Times New Roman" w:hAnsi="Times New Roman" w:cs="Times New Roman"/>
          <w:sz w:val="24"/>
          <w:szCs w:val="24"/>
        </w:rPr>
        <w:t>Отчисления от оплаты труда –  42% или на 613,44тыс</w:t>
      </w:r>
      <w:proofErr w:type="gramStart"/>
      <w:r w:rsidRPr="007317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17DC">
        <w:rPr>
          <w:rFonts w:ascii="Times New Roman" w:hAnsi="Times New Roman" w:cs="Times New Roman"/>
          <w:sz w:val="24"/>
          <w:szCs w:val="24"/>
        </w:rPr>
        <w:t>уб.</w:t>
      </w:r>
    </w:p>
    <w:p w:rsidR="005B7666" w:rsidRPr="007317DC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</w:t>
      </w:r>
      <w:r w:rsidRPr="007317DC">
        <w:rPr>
          <w:rFonts w:ascii="Times New Roman" w:hAnsi="Times New Roman" w:cs="Times New Roman"/>
          <w:sz w:val="24"/>
          <w:szCs w:val="24"/>
        </w:rPr>
        <w:t xml:space="preserve">, ТО – 79% или 353,56 </w:t>
      </w:r>
      <w:proofErr w:type="spellStart"/>
      <w:r w:rsidRPr="007317D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317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17DC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7317DC">
        <w:rPr>
          <w:rFonts w:ascii="Times New Roman" w:hAnsi="Times New Roman" w:cs="Times New Roman"/>
          <w:sz w:val="24"/>
          <w:szCs w:val="24"/>
        </w:rPr>
        <w:t>.</w:t>
      </w: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17DC">
        <w:rPr>
          <w:rFonts w:ascii="Times New Roman" w:hAnsi="Times New Roman" w:cs="Times New Roman"/>
          <w:sz w:val="24"/>
          <w:szCs w:val="24"/>
        </w:rPr>
        <w:t>Общеэксплуатационные</w:t>
      </w:r>
      <w:proofErr w:type="spellEnd"/>
      <w:r w:rsidRPr="007317DC">
        <w:rPr>
          <w:rFonts w:ascii="Times New Roman" w:hAnsi="Times New Roman" w:cs="Times New Roman"/>
          <w:sz w:val="24"/>
          <w:szCs w:val="24"/>
        </w:rPr>
        <w:t xml:space="preserve"> расходы -  59% или на 1040,91тыс</w:t>
      </w:r>
      <w:proofErr w:type="gramStart"/>
      <w:r w:rsidRPr="007317D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317DC">
        <w:rPr>
          <w:rFonts w:ascii="Times New Roman" w:hAnsi="Times New Roman" w:cs="Times New Roman"/>
          <w:sz w:val="24"/>
          <w:szCs w:val="24"/>
        </w:rPr>
        <w:t>уб.</w:t>
      </w: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 по водоотведению и очистке сточных вод производились по тарифам, утвержденным распоряжением Комитета по ценам и тарифам  Московской области от 19.12.2013г. №150-Р. Тариф на водоотведение с 01.01.2014 г. по 30.06.2014</w:t>
      </w:r>
      <w:r w:rsidRPr="008D3AC9">
        <w:rPr>
          <w:rFonts w:ascii="Times New Roman" w:hAnsi="Times New Roman" w:cs="Times New Roman"/>
          <w:sz w:val="24"/>
          <w:szCs w:val="24"/>
        </w:rPr>
        <w:t xml:space="preserve"> г. составил </w:t>
      </w:r>
      <w:r>
        <w:rPr>
          <w:rFonts w:ascii="Times New Roman" w:hAnsi="Times New Roman" w:cs="Times New Roman"/>
          <w:sz w:val="24"/>
          <w:szCs w:val="24"/>
        </w:rPr>
        <w:t>24,43</w:t>
      </w:r>
      <w:r w:rsidRPr="008D3AC9">
        <w:rPr>
          <w:rFonts w:ascii="Times New Roman" w:hAnsi="Times New Roman" w:cs="Times New Roman"/>
          <w:sz w:val="24"/>
          <w:szCs w:val="24"/>
        </w:rPr>
        <w:t xml:space="preserve"> руб., с 01.07.20</w:t>
      </w:r>
      <w:r>
        <w:rPr>
          <w:rFonts w:ascii="Times New Roman" w:hAnsi="Times New Roman" w:cs="Times New Roman"/>
          <w:sz w:val="24"/>
          <w:szCs w:val="24"/>
        </w:rPr>
        <w:t>14 г. по 31.12.2014 г.  – 25,43 руб.  Рост тарифа  за 2014</w:t>
      </w:r>
      <w:r w:rsidRPr="008D3AC9">
        <w:rPr>
          <w:rFonts w:ascii="Times New Roman" w:hAnsi="Times New Roman" w:cs="Times New Roman"/>
          <w:sz w:val="24"/>
          <w:szCs w:val="24"/>
        </w:rPr>
        <w:t xml:space="preserve"> год составил - </w:t>
      </w:r>
      <w:r>
        <w:rPr>
          <w:rFonts w:ascii="Times New Roman" w:hAnsi="Times New Roman" w:cs="Times New Roman"/>
          <w:sz w:val="24"/>
          <w:szCs w:val="24"/>
        </w:rPr>
        <w:t xml:space="preserve"> 4,0%.</w:t>
      </w:r>
    </w:p>
    <w:p w:rsidR="005B7666" w:rsidRPr="00585CDE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5CDE">
        <w:rPr>
          <w:rFonts w:ascii="Times New Roman" w:hAnsi="Times New Roman" w:cs="Times New Roman"/>
          <w:sz w:val="24"/>
          <w:szCs w:val="24"/>
          <w:lang w:eastAsia="ru-RU"/>
        </w:rPr>
        <w:t xml:space="preserve">В структуре </w:t>
      </w:r>
      <w:r>
        <w:rPr>
          <w:rFonts w:ascii="Times New Roman" w:hAnsi="Times New Roman" w:cs="Times New Roman"/>
          <w:sz w:val="24"/>
          <w:szCs w:val="24"/>
          <w:lang w:eastAsia="ru-RU"/>
        </w:rPr>
        <w:t>тарифа на  водоотведение на 2014 г.</w:t>
      </w:r>
      <w:r w:rsidRPr="00585CDE">
        <w:rPr>
          <w:rFonts w:ascii="Times New Roman" w:hAnsi="Times New Roman" w:cs="Times New Roman"/>
          <w:sz w:val="24"/>
          <w:szCs w:val="24"/>
          <w:lang w:eastAsia="ru-RU"/>
        </w:rPr>
        <w:t xml:space="preserve"> удельный вес расходов по элементам затрат составил:</w:t>
      </w:r>
    </w:p>
    <w:p w:rsidR="005B7666" w:rsidRPr="0057468E" w:rsidRDefault="005B7666" w:rsidP="005B7666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476" w:type="dxa"/>
        <w:tblInd w:w="-106" w:type="dxa"/>
        <w:tblLook w:val="0000" w:firstRow="0" w:lastRow="0" w:firstColumn="0" w:lastColumn="0" w:noHBand="0" w:noVBand="0"/>
      </w:tblPr>
      <w:tblGrid>
        <w:gridCol w:w="2881"/>
        <w:gridCol w:w="1346"/>
        <w:gridCol w:w="748"/>
        <w:gridCol w:w="1236"/>
        <w:gridCol w:w="748"/>
        <w:gridCol w:w="2517"/>
      </w:tblGrid>
      <w:tr w:rsidR="005B7666" w:rsidRPr="005C3C2C" w:rsidTr="00C56139">
        <w:trPr>
          <w:trHeight w:val="345"/>
        </w:trPr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Элементы затрат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полугодие 2014</w:t>
            </w: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полугодие 2014</w:t>
            </w: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расходы за 2014</w:t>
            </w: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5B7666" w:rsidRPr="005C3C2C" w:rsidTr="00C56139">
        <w:trPr>
          <w:trHeight w:val="255"/>
        </w:trPr>
        <w:tc>
          <w:tcPr>
            <w:tcW w:w="2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E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B7666" w:rsidRPr="005C3C2C" w:rsidTr="00C56139">
        <w:trPr>
          <w:trHeight w:val="63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Электроэнергия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291,55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5B7666" w:rsidRPr="005C3C2C" w:rsidTr="00C56139">
        <w:trPr>
          <w:trHeight w:val="54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4991,04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5241,6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43,1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3735,3</w:t>
            </w:r>
          </w:p>
        </w:tc>
      </w:tr>
      <w:tr w:rsidR="005B7666" w:rsidRPr="005C3C2C" w:rsidTr="00C56139">
        <w:trPr>
          <w:trHeight w:val="405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Отчисления от оплаты труда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1497,31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1572,48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1123,5</w:t>
            </w:r>
          </w:p>
        </w:tc>
      </w:tr>
      <w:tr w:rsidR="005B7666" w:rsidRPr="005C3C2C" w:rsidTr="00C56139">
        <w:trPr>
          <w:trHeight w:val="405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Амортизация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192,1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66,2</w:t>
            </w:r>
          </w:p>
        </w:tc>
      </w:tr>
      <w:tr w:rsidR="005B7666" w:rsidRPr="005C3C2C" w:rsidTr="00C56139">
        <w:trPr>
          <w:trHeight w:val="36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 ремонт и ТО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403,48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97,1</w:t>
            </w:r>
          </w:p>
        </w:tc>
      </w:tr>
      <w:tr w:rsidR="005B7666" w:rsidRPr="005C3C2C" w:rsidTr="00C56139">
        <w:trPr>
          <w:trHeight w:val="45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B7666" w:rsidRPr="005C3C2C" w:rsidTr="00C56139">
        <w:trPr>
          <w:trHeight w:val="39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Цеховые расходы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260,19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192,39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E362CA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  <w:t>-</w:t>
            </w:r>
          </w:p>
        </w:tc>
      </w:tr>
      <w:tr w:rsidR="005B7666" w:rsidRPr="005C3C2C" w:rsidTr="00C56139">
        <w:trPr>
          <w:trHeight w:val="39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1095,98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1149,97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1371,9</w:t>
            </w:r>
          </w:p>
        </w:tc>
      </w:tr>
      <w:tr w:rsidR="005B7666" w:rsidRPr="005C3C2C" w:rsidTr="00C56139">
        <w:trPr>
          <w:trHeight w:val="390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5B7666" w:rsidRPr="005C3C2C" w:rsidTr="00C56139">
        <w:trPr>
          <w:trHeight w:val="312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Покупная продукция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2684,0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2810,15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2523,2</w:t>
            </w:r>
          </w:p>
        </w:tc>
      </w:tr>
      <w:tr w:rsidR="005B7666" w:rsidRPr="005C3C2C" w:rsidTr="00C56139">
        <w:trPr>
          <w:trHeight w:val="345"/>
        </w:trPr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1 687,07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2168,83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8970,2</w:t>
            </w:r>
          </w:p>
        </w:tc>
      </w:tr>
      <w:tr w:rsidR="005B7666" w:rsidRPr="005C3C2C" w:rsidTr="00C56139">
        <w:trPr>
          <w:trHeight w:val="30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66" w:rsidRPr="0057468E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себестоимость по тарифу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666" w:rsidRPr="0057468E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11960,59</w:t>
            </w:r>
          </w:p>
        </w:tc>
      </w:tr>
    </w:tbl>
    <w:p w:rsidR="005B7666" w:rsidRDefault="005B7666" w:rsidP="005B7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FB5">
        <w:rPr>
          <w:rFonts w:ascii="Times New Roman" w:hAnsi="Times New Roman" w:cs="Times New Roman"/>
          <w:sz w:val="24"/>
          <w:szCs w:val="24"/>
        </w:rPr>
        <w:t>Согласно дан</w:t>
      </w:r>
      <w:r>
        <w:rPr>
          <w:rFonts w:ascii="Times New Roman" w:hAnsi="Times New Roman" w:cs="Times New Roman"/>
          <w:sz w:val="24"/>
          <w:szCs w:val="24"/>
        </w:rPr>
        <w:t>ным бухгалтерского учета за 2014 г.</w:t>
      </w:r>
      <w:r w:rsidRPr="00B11F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11FB5">
        <w:rPr>
          <w:rFonts w:ascii="Times New Roman" w:hAnsi="Times New Roman" w:cs="Times New Roman"/>
          <w:sz w:val="24"/>
          <w:szCs w:val="24"/>
        </w:rPr>
        <w:t>оборо</w:t>
      </w:r>
      <w:r>
        <w:rPr>
          <w:rFonts w:ascii="Times New Roman" w:hAnsi="Times New Roman" w:cs="Times New Roman"/>
          <w:sz w:val="24"/>
          <w:szCs w:val="24"/>
        </w:rPr>
        <w:t>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-сальдовая  ведомость за 2014 г., сводные проводки за 2014 г.</w:t>
      </w:r>
      <w:r w:rsidRPr="00B11FB5">
        <w:rPr>
          <w:rFonts w:ascii="Times New Roman" w:hAnsi="Times New Roman" w:cs="Times New Roman"/>
          <w:sz w:val="24"/>
          <w:szCs w:val="24"/>
        </w:rPr>
        <w:t xml:space="preserve">, первичные документы), фактические расходы  по </w:t>
      </w:r>
      <w:r w:rsidRPr="00B11FB5">
        <w:rPr>
          <w:rFonts w:ascii="Times New Roman" w:hAnsi="Times New Roman" w:cs="Times New Roman"/>
          <w:sz w:val="24"/>
          <w:szCs w:val="24"/>
        </w:rPr>
        <w:lastRenderedPageBreak/>
        <w:t>водоснабжению п. Березн</w:t>
      </w:r>
      <w:r>
        <w:rPr>
          <w:rFonts w:ascii="Times New Roman" w:hAnsi="Times New Roman" w:cs="Times New Roman"/>
          <w:sz w:val="24"/>
          <w:szCs w:val="24"/>
        </w:rPr>
        <w:t xml:space="preserve">яки,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Бужаниново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Сватково</w:t>
      </w:r>
      <w:proofErr w:type="spellEnd"/>
      <w:r w:rsidRPr="00B11FB5">
        <w:rPr>
          <w:rFonts w:ascii="Times New Roman" w:hAnsi="Times New Roman" w:cs="Times New Roman"/>
          <w:sz w:val="24"/>
          <w:szCs w:val="24"/>
        </w:rPr>
        <w:t xml:space="preserve"> составили</w:t>
      </w:r>
      <w:r>
        <w:rPr>
          <w:rFonts w:ascii="Times New Roman" w:hAnsi="Times New Roman" w:cs="Times New Roman"/>
          <w:sz w:val="24"/>
          <w:szCs w:val="24"/>
        </w:rPr>
        <w:t xml:space="preserve"> 8 970,2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., что не превышает среднюю себестоимость по тарифу.</w:t>
      </w:r>
    </w:p>
    <w:p w:rsidR="005B7666" w:rsidRPr="00E90B6A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по содержанию  и ремонту жилых помещений в многоквартирных домах на 2014г. производились по тарифам, утвержденным постановлением Главы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Березняковского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28.12.2013г. №281, с 01.01.2014г. в сумме 25,3 руб.(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ватково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01.07.2014г. в сумме 26,24руб.(с.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Сватково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с 01.01.2014г. в сумме 22,34 руб. (д. Березняки,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Бужаниново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д. Путятино), с 01.07.2014г. в сумме 23,18руб.</w:t>
      </w:r>
      <w:r w:rsidRPr="008442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(д. Березняки,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Бужаниново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Путятино),  </w:t>
      </w:r>
      <w:r w:rsidRPr="006C61AD">
        <w:rPr>
          <w:rFonts w:ascii="Times New Roman" w:hAnsi="Times New Roman" w:cs="Times New Roman"/>
          <w:sz w:val="24"/>
          <w:szCs w:val="24"/>
        </w:rPr>
        <w:t xml:space="preserve">планируемые расходы составили в сумме 23 345,0 </w:t>
      </w:r>
      <w:proofErr w:type="spellStart"/>
      <w:r w:rsidRPr="006C61A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C61A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C61A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C61AD">
        <w:rPr>
          <w:rFonts w:ascii="Times New Roman" w:hAnsi="Times New Roman" w:cs="Times New Roman"/>
          <w:sz w:val="24"/>
          <w:szCs w:val="24"/>
        </w:rPr>
        <w:t>.,</w:t>
      </w:r>
      <w:r>
        <w:rPr>
          <w:rFonts w:ascii="Times New Roman" w:hAnsi="Times New Roman" w:cs="Times New Roman"/>
          <w:sz w:val="24"/>
          <w:szCs w:val="24"/>
        </w:rPr>
        <w:t xml:space="preserve"> фактические расходы по данным бухгалтерского учета ( обороты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20) « обслуживание жилого фонда за 2014г.»  составили в сумме 20 941,9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E90B6A">
        <w:rPr>
          <w:rFonts w:ascii="Times New Roman" w:hAnsi="Times New Roman" w:cs="Times New Roman"/>
          <w:sz w:val="24"/>
          <w:szCs w:val="24"/>
        </w:rPr>
        <w:t>что не превышает среднюю себестоимость по тарифу.</w:t>
      </w:r>
    </w:p>
    <w:p w:rsidR="005B7666" w:rsidRDefault="005B7666" w:rsidP="005B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"/>
        <w:gridCol w:w="2355"/>
        <w:gridCol w:w="328"/>
        <w:gridCol w:w="1324"/>
        <w:gridCol w:w="242"/>
        <w:gridCol w:w="1135"/>
        <w:gridCol w:w="45"/>
        <w:gridCol w:w="91"/>
        <w:gridCol w:w="1058"/>
        <w:gridCol w:w="43"/>
        <w:gridCol w:w="137"/>
        <w:gridCol w:w="1386"/>
        <w:gridCol w:w="130"/>
        <w:gridCol w:w="1233"/>
      </w:tblGrid>
      <w:tr w:rsidR="005B7666" w:rsidRPr="005C3C2C" w:rsidTr="00C56139">
        <w:trPr>
          <w:trHeight w:val="378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Движение денежных средств МУП "Ресурс" за 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4г.</w:t>
            </w:r>
          </w:p>
        </w:tc>
      </w:tr>
      <w:tr w:rsidR="005B7666" w:rsidRPr="005C3C2C" w:rsidTr="00C56139">
        <w:trPr>
          <w:trHeight w:val="378"/>
        </w:trPr>
        <w:tc>
          <w:tcPr>
            <w:tcW w:w="268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7666" w:rsidRPr="005C3C2C" w:rsidTr="00C56139">
        <w:trPr>
          <w:trHeight w:val="318"/>
        </w:trPr>
        <w:tc>
          <w:tcPr>
            <w:tcW w:w="9513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Поступление денежных средств (руб.</w:t>
            </w:r>
            <w:proofErr w:type="gramStart"/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)(</w:t>
            </w:r>
            <w:proofErr w:type="gramEnd"/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сч.62)</w:t>
            </w:r>
          </w:p>
        </w:tc>
      </w:tr>
      <w:tr w:rsidR="005B7666" w:rsidRPr="005C3C2C" w:rsidTr="00C56139">
        <w:trPr>
          <w:trHeight w:val="423"/>
        </w:trPr>
        <w:tc>
          <w:tcPr>
            <w:tcW w:w="23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Начислено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Оплачено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Задолженность</w:t>
            </w:r>
          </w:p>
        </w:tc>
        <w:tc>
          <w:tcPr>
            <w:tcW w:w="123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оплаты населением </w:t>
            </w:r>
            <w:proofErr w:type="spellStart"/>
            <w:r w:rsidRPr="008D56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ком</w:t>
            </w:r>
            <w:proofErr w:type="gramStart"/>
            <w:r w:rsidRPr="008D56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.у</w:t>
            </w:r>
            <w:proofErr w:type="gramEnd"/>
            <w:r w:rsidRPr="008D561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слуг</w:t>
            </w:r>
            <w:proofErr w:type="spellEnd"/>
          </w:p>
        </w:tc>
      </w:tr>
      <w:tr w:rsidR="005B7666" w:rsidRPr="005C3C2C" w:rsidTr="00C56139">
        <w:trPr>
          <w:trHeight w:val="362"/>
        </w:trPr>
        <w:tc>
          <w:tcPr>
            <w:tcW w:w="23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Потребители услуг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E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01.01.201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2014</w:t>
            </w:r>
            <w:r w:rsidRPr="006E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2014</w:t>
            </w:r>
            <w:r w:rsidRPr="006E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E541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31.12.201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3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B7666" w:rsidRPr="005C3C2C" w:rsidTr="00C56139">
        <w:trPr>
          <w:trHeight w:val="333"/>
        </w:trPr>
        <w:tc>
          <w:tcPr>
            <w:tcW w:w="23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Население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31 720 215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109 167 680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99 094 719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41 793 176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C8560A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90,8</w:t>
            </w:r>
          </w:p>
        </w:tc>
      </w:tr>
      <w:tr w:rsidR="005B7666" w:rsidRPr="005C3C2C" w:rsidTr="00C56139">
        <w:trPr>
          <w:trHeight w:val="333"/>
        </w:trPr>
        <w:tc>
          <w:tcPr>
            <w:tcW w:w="23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Бюджетные организации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20 189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916 740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6 862 993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73 936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C8560A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5B7666" w:rsidRPr="005C3C2C" w:rsidTr="00C56139">
        <w:trPr>
          <w:trHeight w:val="333"/>
        </w:trPr>
        <w:tc>
          <w:tcPr>
            <w:tcW w:w="23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Прочие потребители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622 119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10 552 710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10 513 739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1 661 090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C8560A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</w:tr>
      <w:tr w:rsidR="005B7666" w:rsidRPr="005C3C2C" w:rsidTr="00C56139">
        <w:trPr>
          <w:trHeight w:val="333"/>
        </w:trPr>
        <w:tc>
          <w:tcPr>
            <w:tcW w:w="23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400F2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б/с </w:t>
            </w:r>
            <w:r w:rsidRPr="008400F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62)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33 362 523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126 637 130</w:t>
            </w:r>
          </w:p>
        </w:tc>
        <w:tc>
          <w:tcPr>
            <w:tcW w:w="12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116 471 451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43 528 202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C8560A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560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666" w:rsidRPr="005C3C2C" w:rsidTr="00C56139">
        <w:trPr>
          <w:trHeight w:val="333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5B7666" w:rsidRPr="00121788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178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Субсидии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б/с </w:t>
            </w:r>
            <w:r w:rsidRPr="00121788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86)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21 988 190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21 988 190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7666" w:rsidRPr="00C8560A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7666" w:rsidRPr="005C3C2C" w:rsidTr="00C56139">
        <w:trPr>
          <w:trHeight w:val="362"/>
        </w:trPr>
        <w:tc>
          <w:tcPr>
            <w:tcW w:w="23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Всего поступило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011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1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33 362 523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011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148 625 320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011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138 459 641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011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43 528 202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7666" w:rsidRPr="006E0110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94,6</w:t>
            </w:r>
          </w:p>
        </w:tc>
      </w:tr>
      <w:tr w:rsidR="005B7666" w:rsidRPr="005C3C2C" w:rsidTr="00C56139">
        <w:trPr>
          <w:trHeight w:val="362"/>
        </w:trPr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65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18"/>
        </w:trPr>
        <w:tc>
          <w:tcPr>
            <w:tcW w:w="82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Расходы денежных средств (руб.) (сч.60)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635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Поставщики МУП "Ресурс</w:t>
            </w:r>
            <w:proofErr w:type="gramStart"/>
            <w:r w:rsidRPr="008D56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б/с 60)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Задолженность на 01.01.201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Выставлено на 31.12.201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Оплачено на 31.12.201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Задолженность  на 31.12.201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605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ООО "Газпром </w:t>
            </w:r>
            <w:proofErr w:type="spellStart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межрегионгаз</w:t>
            </w:r>
            <w:proofErr w:type="spellEnd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Москва"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44 838 347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32 033 192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39 420 638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37 450 901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605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ГУП МО "</w:t>
            </w:r>
            <w:proofErr w:type="spellStart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Мособлгаз</w:t>
            </w:r>
            <w:proofErr w:type="spellEnd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" (транспортировка)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660 110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4 180 869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4 883 013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-42 034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605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ГУП МО "</w:t>
            </w:r>
            <w:proofErr w:type="spellStart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Мособлгаз</w:t>
            </w:r>
            <w:proofErr w:type="spellEnd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" (</w:t>
            </w:r>
            <w:proofErr w:type="spellStart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тех</w:t>
            </w:r>
            <w:proofErr w:type="gramStart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бслуживание</w:t>
            </w:r>
            <w:proofErr w:type="spellEnd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 154 468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995 710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158 758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78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ОАО "</w:t>
            </w:r>
            <w:proofErr w:type="spellStart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Мосэнергосбыт</w:t>
            </w:r>
            <w:proofErr w:type="spellEnd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4 477 452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14 264 330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0 805 148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7 936 634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423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МУП "Водоканал"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 138 868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3 099 360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2 150 538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7 087 690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33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ИП Таланов (</w:t>
            </w:r>
            <w:proofErr w:type="spellStart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вывыз</w:t>
            </w:r>
            <w:proofErr w:type="spellEnd"/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ТБО)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 259 728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3 557 347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2 891 090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1 925 985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78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color w:val="000000"/>
                <w:lang w:eastAsia="ru-RU"/>
              </w:rPr>
              <w:t>Прочие поставщики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993 741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21 785 344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21 763 434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1 015 651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513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поставщикам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58 368 246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80 074 910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82 909 571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5 533 585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02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02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Обязательные платежи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02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4B51A2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  <w:r w:rsidRPr="004B51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Зарплата персонала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2 563 510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35 788 430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35 601 029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2 750 911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02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4B51A2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  <w:r w:rsidRPr="004B51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Налоги, в том числе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2 902 542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27 376 134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20 314 931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9 963 745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02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6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НДФЛ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637 987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5 379 610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2 759 599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3 257 998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02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6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ЕСН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906 883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12 092 729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7 498 359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5 501 253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273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6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НДС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911 700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9 326 309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9 044 009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1 194 000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02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6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Имущественный налог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445 972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577 486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1 012 964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10 494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302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6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Штрафы и пени по налогам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trHeight w:val="605"/>
        </w:trPr>
        <w:tc>
          <w:tcPr>
            <w:tcW w:w="268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4B51A2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  <w:r w:rsidRPr="004B51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Оплата займов и процентов по займам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B51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(б/с 66), в том числе</w:t>
            </w:r>
            <w:proofErr w:type="gramStart"/>
            <w:r w:rsidRPr="004B51A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  <w:proofErr w:type="gramEnd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26 519 350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E5415">
              <w:rPr>
                <w:rFonts w:ascii="Times New Roman" w:hAnsi="Times New Roman" w:cs="Times New Roman"/>
                <w:b/>
                <w:bCs/>
                <w:lang w:eastAsia="ru-RU"/>
              </w:rPr>
              <w:t>26 519 350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gridBefore w:val="1"/>
          <w:wBefore w:w="6" w:type="dxa"/>
          <w:trHeight w:val="529"/>
        </w:trPr>
        <w:tc>
          <w:tcPr>
            <w:tcW w:w="2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6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ООО "Торгово-Строительная Компания"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819 350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E5415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819 350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gridBefore w:val="1"/>
          <w:wBefore w:w="6" w:type="dxa"/>
          <w:trHeight w:val="362"/>
        </w:trPr>
        <w:tc>
          <w:tcPr>
            <w:tcW w:w="2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D561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РТИ Холдинг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25 700 000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E5415">
              <w:rPr>
                <w:rFonts w:ascii="Times New Roman" w:hAnsi="Times New Roman" w:cs="Times New Roman"/>
                <w:lang w:eastAsia="ru-RU"/>
              </w:rPr>
              <w:t> -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25 700 000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gridBefore w:val="1"/>
          <w:wBefore w:w="6" w:type="dxa"/>
          <w:trHeight w:val="589"/>
        </w:trPr>
        <w:tc>
          <w:tcPr>
            <w:tcW w:w="2683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5B7666" w:rsidRPr="00ED1812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ED1812">
              <w:rPr>
                <w:rFonts w:ascii="Times New Roman" w:hAnsi="Times New Roman" w:cs="Times New Roman"/>
                <w:b/>
                <w:bCs/>
                <w:lang w:eastAsia="ru-RU"/>
              </w:rPr>
              <w:t>Итого по обязательным платежам (1+2+3)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7666" w:rsidRPr="00ED1812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81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31 985 402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7666" w:rsidRPr="00ED1812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81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63 164 564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B7666" w:rsidRPr="00ED1812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81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55  915  960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B7666" w:rsidRPr="00ED1812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81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39 234 006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gridBefore w:val="1"/>
          <w:wBefore w:w="6" w:type="dxa"/>
          <w:trHeight w:val="454"/>
        </w:trPr>
        <w:tc>
          <w:tcPr>
            <w:tcW w:w="26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D56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90 353 648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143 239 474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138 825 531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94 767 591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gridBefore w:val="1"/>
          <w:wBefore w:w="6" w:type="dxa"/>
          <w:trHeight w:val="302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6E5415" w:rsidRDefault="005B7666" w:rsidP="00C56139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8D5615" w:rsidRDefault="005B7666" w:rsidP="00C56139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</w:tr>
      <w:tr w:rsidR="005B7666" w:rsidRPr="005C3C2C" w:rsidTr="00C56139">
        <w:trPr>
          <w:gridBefore w:val="1"/>
          <w:wBefore w:w="6" w:type="dxa"/>
          <w:trHeight w:val="302"/>
        </w:trPr>
        <w:tc>
          <w:tcPr>
            <w:tcW w:w="950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9F458C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38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0038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период с 01.01.2014г. по 28.02.2014г</w:t>
            </w:r>
            <w:r w:rsidRPr="0000388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начисления за предоставленные жилищно-коммунальные услуги населению производились в соответствии с  </w:t>
            </w:r>
            <w:r w:rsidRPr="00E33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заключен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ным </w:t>
            </w:r>
            <w:r w:rsidRPr="00E33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33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01.08.2011г. с ООО «</w:t>
            </w:r>
            <w:proofErr w:type="spellStart"/>
            <w:r w:rsidRPr="00E33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</w:t>
            </w:r>
            <w:proofErr w:type="spellEnd"/>
            <w:r w:rsidRPr="00E33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Сервис» на информационно техническое сопровождение в рамках комплексного </w:t>
            </w:r>
            <w:r w:rsidRPr="00E3312A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IT</w:t>
            </w:r>
            <w:r w:rsidRPr="00E331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обслуживания. Предметом договора является  обслуживание  Единой расчетной системы комплекс расчетно информационных программ «СТЕК – ЖКХ» в конфигурации: «Расчеты с абонентами – население (Квартплата)»; «АРМ кассир», «АРМ Юриста работа с должниками», «АРМ паспортный стол». </w:t>
            </w:r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Обслуживаемые участки 2614 лицевых счетов, в том числе: 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Бужаниново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ч/с – 228л/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Березняки ч/с  – 128л/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Сватково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724 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Бужаниново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531 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Березняки – 930л/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Путятино -73 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proofErr w:type="gram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B7666" w:rsidRPr="009F458C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По данным «СТЕК – ЖКХ»  Отчета по сальдо «жилой фонд» количество  обслуживаемых лицевых счетов за 2014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составляют  2644 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суммарная площадь жилого фонда составляет 147 663,02 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в том числе: </w:t>
            </w:r>
          </w:p>
          <w:p w:rsidR="005B7666" w:rsidRPr="009F458C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Березняки – 1 076 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суммарная площадь жилого фонда 48 949,7кв.м.;</w:t>
            </w:r>
          </w:p>
          <w:p w:rsidR="005B7666" w:rsidRPr="009F458C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Бужаниново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773 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суммарная площадь жилого фонда 61 976,7 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B7666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Сватково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795 л/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суммарная площадь жилого фонда 36 736,62 </w:t>
            </w:r>
            <w:proofErr w:type="spellStart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F4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период с 01.03.2014 г.</w:t>
            </w:r>
            <w:r w:rsidRPr="0000388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по 31.12.2014 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3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п.1.1.   заключенного  договора от 26.02.2014г. 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Единый информационный расчетно-кассовый центр», именуемым  в дальнейшем  «ЕИРКЦ», который обязуется совершать следующие действия и деятельность (предоставлять услуги):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 ведение баз  данных  и формирование начисление жилищно-коммунальных услуг предоставляемых  Управляющей компанией;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формировать  Единые платежные документы с включением в них строки для оплаты следующих жилищно-коммунальных услуг, предоставляемых Управляющей компанией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холодное и горячее водоснабжение, водоотведение, отопление, содержание и текущий ремонт, антенна, наем, капитальный ремонт;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прием Плательщиков, кассовое обслуживание;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произвести «расщепление» платежей поступивших от Плательщиков за жилищно-коммунальные услуги и перечислить платежи согласно указаниям Управляющей компании, изложенным в Приложение №3 к договору, в том числе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5B7666" w:rsidRDefault="005B7666" w:rsidP="00C5613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Москва» -20% (дог.№61-4-2625/13 от 15.10.2012г.);</w:t>
            </w:r>
          </w:p>
          <w:p w:rsidR="005B7666" w:rsidRDefault="005B7666" w:rsidP="00C5613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ГУП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Мособлгаз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Мытищимежрайгаз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трансп. природного газа) - 3% (дог.№18-5-08/11 от 23.08.2011г.);</w:t>
            </w:r>
          </w:p>
          <w:p w:rsidR="005B7666" w:rsidRDefault="005B7666" w:rsidP="00C5613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ГУП МО «</w:t>
            </w:r>
            <w:proofErr w:type="spellStart"/>
            <w:r w:rsidRPr="00DF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Мособлгаз</w:t>
            </w:r>
            <w:proofErr w:type="spellEnd"/>
            <w:r w:rsidRPr="00DF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«</w:t>
            </w:r>
            <w:proofErr w:type="spellStart"/>
            <w:r w:rsidRPr="00DF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Мытищимежрайгаз</w:t>
            </w:r>
            <w:proofErr w:type="spellEnd"/>
            <w:proofErr w:type="gramStart"/>
            <w:r w:rsidRPr="00DF6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ТО оборудования) – 0,7% (дог. №18-3-14/11 от 18.08.2011г.)</w:t>
            </w:r>
          </w:p>
          <w:p w:rsidR="005B7666" w:rsidRDefault="005B7666" w:rsidP="00C5613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«Водоканал» - 0,5% (дог.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208,208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от 01.08.2011г.)</w:t>
            </w:r>
          </w:p>
          <w:p w:rsidR="005B7666" w:rsidRDefault="005B7666" w:rsidP="00C5613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Сергиев-Посад» - 10% (дог. №72463825 от 01.08.2011г.)</w:t>
            </w:r>
          </w:p>
          <w:p w:rsidR="005B7666" w:rsidRPr="009F458C" w:rsidRDefault="005B7666" w:rsidP="00C5613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34,2%</w:t>
            </w:r>
          </w:p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5B7666" w:rsidRPr="003A0514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Распределение лицевых счетов и площади в 2014 г.</w:t>
            </w:r>
          </w:p>
          <w:tbl>
            <w:tblPr>
              <w:tblW w:w="9309" w:type="dxa"/>
              <w:tblLayout w:type="fixed"/>
              <w:tblLook w:val="04A0" w:firstRow="1" w:lastRow="0" w:firstColumn="1" w:lastColumn="0" w:noHBand="0" w:noVBand="1"/>
            </w:tblPr>
            <w:tblGrid>
              <w:gridCol w:w="1513"/>
              <w:gridCol w:w="1134"/>
              <w:gridCol w:w="1276"/>
              <w:gridCol w:w="1134"/>
              <w:gridCol w:w="1275"/>
              <w:gridCol w:w="1276"/>
              <w:gridCol w:w="1701"/>
            </w:tblGrid>
            <w:tr w:rsidR="005B7666" w:rsidRPr="006B4CD1" w:rsidTr="00C56139">
              <w:trPr>
                <w:trHeight w:val="300"/>
              </w:trPr>
              <w:tc>
                <w:tcPr>
                  <w:tcW w:w="15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Населенный пункт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ЕИРЦ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Директ</w:t>
                  </w:r>
                  <w:proofErr w:type="spellEnd"/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Сервис</w:t>
                  </w:r>
                </w:p>
              </w:tc>
              <w:tc>
                <w:tcPr>
                  <w:tcW w:w="297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</w:t>
                  </w:r>
                </w:p>
              </w:tc>
            </w:tr>
            <w:tr w:rsidR="005B7666" w:rsidRPr="006B4CD1" w:rsidTr="00C56139">
              <w:trPr>
                <w:trHeight w:val="300"/>
              </w:trPr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МКЖД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частный сектор</w:t>
                  </w:r>
                </w:p>
              </w:tc>
              <w:tc>
                <w:tcPr>
                  <w:tcW w:w="297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B7666" w:rsidRPr="006B4CD1" w:rsidTr="00C56139">
              <w:trPr>
                <w:trHeight w:val="900"/>
              </w:trPr>
              <w:tc>
                <w:tcPr>
                  <w:tcW w:w="15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 лицевых счетов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Площадь, м</w:t>
                  </w:r>
                  <w:proofErr w:type="gramStart"/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 лицевых счетов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Площадь, м</w:t>
                  </w: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Кол-во лицевых счетов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Площадь, м</w:t>
                  </w:r>
                  <w:proofErr w:type="gramStart"/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5B7666" w:rsidRPr="006B4CD1" w:rsidTr="00C56139">
              <w:trPr>
                <w:trHeight w:val="300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Березняки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930,00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42 648,30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146,00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6 301,40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1 076,00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48 949,70</w:t>
                  </w:r>
                </w:p>
              </w:tc>
            </w:tr>
            <w:tr w:rsidR="005B7666" w:rsidRPr="006B4CD1" w:rsidTr="00C56139">
              <w:trPr>
                <w:trHeight w:val="300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Бужаниново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528,00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25 094,00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245,00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36 882,70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773,00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61 976,70</w:t>
                  </w:r>
                </w:p>
              </w:tc>
            </w:tr>
            <w:tr w:rsidR="005B7666" w:rsidRPr="006B4CD1" w:rsidTr="00C56139">
              <w:trPr>
                <w:trHeight w:val="300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Сватково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721,00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33 587,20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74,00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3 149,42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36 736,62</w:t>
                  </w:r>
                </w:p>
              </w:tc>
            </w:tr>
            <w:tr w:rsidR="005B7666" w:rsidRPr="006B4CD1" w:rsidTr="00C56139">
              <w:trPr>
                <w:trHeight w:val="300"/>
              </w:trPr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2 179,00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101 329,50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465,00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46 333,52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2 644,00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B7666" w:rsidRPr="006B4CD1" w:rsidRDefault="005B7666" w:rsidP="00C561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6B4CD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147 663,02</w:t>
                  </w:r>
                </w:p>
              </w:tc>
            </w:tr>
          </w:tbl>
          <w:p w:rsidR="005B7666" w:rsidRPr="006B4CD1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0560B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Доходы МУП «Ресурс»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:rsidR="005B7666" w:rsidRPr="000560B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A215B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По данным «СТЕК – ЖКХ»  Отчета по сальдо  по начислению  населению за оказанные коммунальные услуги,</w:t>
            </w:r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Задолженность населения  на 01.01.2014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составила в сумме </w:t>
            </w:r>
            <w:r w:rsidRPr="00A215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35 314 063,35 руб</w:t>
            </w:r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8319E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начислено за январь, февраль 2014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г.</w:t>
            </w:r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сумме </w:t>
            </w:r>
            <w:r w:rsidRPr="00A215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20 706 244,78 руб</w:t>
            </w:r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оплачено 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2014 г.  в сумме </w:t>
            </w:r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5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34 935 764,54 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.,  задолженность на конец 2014 г.</w:t>
            </w:r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составила в сумме </w:t>
            </w:r>
            <w:r w:rsidRPr="00A215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21 084 543,59 руб</w:t>
            </w:r>
            <w:proofErr w:type="gramEnd"/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в том числе долги прошлых лет в сумме </w:t>
            </w:r>
            <w:r w:rsidRPr="00A215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7 106 847,52руб</w:t>
            </w:r>
            <w:r w:rsidRPr="00A21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(долги ТСЖ и УК с  2010 года). 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данным Управления ЕИРЦ отд. «Березняки»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-сальдовой ведомости по услугам  за период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 марта по декабрь 2014 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начисления населению по видам услуг составили в сумме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93 084 561,44</w:t>
            </w:r>
            <w:r w:rsidRPr="008319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оплачено за 2014 г. в сумме </w:t>
            </w:r>
            <w:r w:rsidRPr="008319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70 712 149,06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1C7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задолженность на конец года составила в сумме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22 460 457,01 руб. </w:t>
            </w:r>
            <w:proofErr w:type="gramEnd"/>
          </w:p>
          <w:p w:rsidR="005B7666" w:rsidRPr="00D51C10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Всего по данным управляющих компаний в 2014 г. начислено  населению в сумме 113 790 806,22 руб., оплачено в сумме 105 647 913,6 руб., задолженность на конец года составила в сумме 43 545 000,60руб.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479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По данным бухгалтерского учета МУП «Ресурс» (</w:t>
            </w:r>
            <w:proofErr w:type="spellStart"/>
            <w:r w:rsidRPr="0047479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оборотно</w:t>
            </w:r>
            <w:proofErr w:type="spellEnd"/>
            <w:r w:rsidRPr="0047479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-сальдовая ведомость по сч.62, сч.76</w:t>
            </w:r>
            <w:proofErr w:type="gramStart"/>
            <w:r w:rsidRPr="0047479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)</w:t>
            </w:r>
            <w:proofErr w:type="gramEnd"/>
            <w:r w:rsidRPr="0047479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Задолженность населения  на 01.01.2014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составила в сумме </w:t>
            </w:r>
            <w:r w:rsidRPr="00474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31 720 215,25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руб., начислено за 2014г.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сумме </w:t>
            </w:r>
            <w:r w:rsidRPr="004747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113 549 869,18</w:t>
            </w:r>
            <w:r w:rsidRPr="00474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оплачено за год  </w:t>
            </w:r>
            <w:r w:rsidRPr="00474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102 611 111,43руб.,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задолженность на конец 2014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составила в сумме </w:t>
            </w:r>
            <w:r w:rsidRPr="000312C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42 658 973,0 </w:t>
            </w:r>
            <w:r w:rsidRPr="00474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Собираемость платежей населения составляет </w:t>
            </w:r>
            <w:r w:rsidRPr="00474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90,8%.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7666" w:rsidRPr="0047479F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Разница по задолженности на начало периода с программой «СТЕК-ЖКХ»   составляет </w:t>
            </w:r>
            <w:r w:rsidRPr="00474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3 593 848,10руб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r w:rsidRPr="0047479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начислению населению, за оказанные услуги  разница  с данными управляющих компаний  составила  в сумме </w:t>
            </w:r>
            <w:r w:rsidRPr="004747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240 937,04руб.,</w:t>
            </w:r>
            <w:r w:rsidRPr="004747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оплате населения разница с данными   управляющих компаний составляет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сумме </w:t>
            </w:r>
            <w:r w:rsidRPr="0047479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3 036 802,17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0312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разница по задолженности населения на конец периода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составила   в сумме 886 027,60руб.</w:t>
            </w:r>
            <w:proofErr w:type="gramEnd"/>
          </w:p>
          <w:p w:rsidR="005B7666" w:rsidRPr="00710F47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В связи с изъятием документов МУП «Ресурс» за прошлые периоды, выяснить ситуацию по долгам населения прошлых лет не представляется возможным.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МУП «Ресурс» является получателем субсидии из бюджета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согласно Договора №1/2014 «О выделении из бюджета сельского поселения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субсидии на возмещение проведенных затрат выполненных работ по благоустройству территории населенных пунктов» от 31.12.2013г. </w:t>
            </w:r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 сумме 8 285,8 </w:t>
            </w:r>
            <w:proofErr w:type="spellStart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согласно Постановления Главы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30.09.2014г. №240 «О предоставлении субсидии из местного бюджета МУП «Ресурс» на возмещение недополученных доходов МУП «Ресурс» для оплаты за поставленный газ ООО « Газпром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Москва» </w:t>
            </w:r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 сумме 16 290,0 </w:t>
            </w:r>
            <w:proofErr w:type="spellStart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Согласно отчета об использовании субсидий за 2014г. фактические расходы по использованию субсидии   составили </w:t>
            </w:r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сумме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21 495,9 </w:t>
            </w:r>
            <w:proofErr w:type="spellStart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Постановлением Главы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21.10.2011 №766 «Об утверждении порядка предоставления из местного бюджета субсидий муниципальному унитарному предприятию жилищно-коммунального хозяйства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Условиями предоставления субсидии в соответствии с настоящим Порядком п.3.1  являются: </w:t>
            </w:r>
            <w:r w:rsidRPr="00D600E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отнесение к уставным видам деятельности получателя субсидии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 по текущему ремонту зданий, содержанию дорог местного значения, организации освещения и эксплуатации сетей уличного освещения, благоустройству и озеленению, организации водоснабжения и водоотведения, снабжения населения топливом, содержание мест захоронения, осуществляемых на территории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Березняковское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В </w:t>
            </w:r>
            <w:r w:rsidRPr="00E90D1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Уставе МУП «Ресурс» отсутствуют  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перечисленные в указанном  Порядке в том числе: содержание</w:t>
            </w:r>
            <w:r w:rsidRPr="007E5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дорог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организация</w:t>
            </w:r>
            <w:r w:rsidRPr="007E5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освещения и эксплуатации сетей уличного освещения,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и озеленение, снабжение</w:t>
            </w:r>
            <w:r w:rsidRPr="007E55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населения топливом, содержание мест захоронения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F3D1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 соответствии с п.3.3  Предприятие не вправе осуществлять виды деятельности,  не предусмотренные настоящим Уставом.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5B7666" w:rsidRPr="0055117D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C77A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 же,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МУП « Ресурс» по договору №7 /14-3 от 24.06.2014г.  получил бюджетные средства  на возмещение  расходов на проведение  работ по энергетическому обследованию (</w:t>
            </w:r>
            <w:proofErr w:type="spellStart"/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в сумме </w:t>
            </w:r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320,0 </w:t>
            </w:r>
            <w:proofErr w:type="spellStart"/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.,</w:t>
            </w:r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проверке было представлено Заключение №03-ЭЭП-14 по результатам проведенной экспертизы энергетического паспорта потребителя топливно-энергетических ресурсов, проведенное ООО «Вневедомственное экспертное бюро энергетических расчетов».</w:t>
            </w:r>
          </w:p>
          <w:p w:rsidR="005B7666" w:rsidRPr="00ED421A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октябре 2014г.</w:t>
            </w:r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из Резервного фонда администрации сельского поселения </w:t>
            </w:r>
            <w:proofErr w:type="spellStart"/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Березняковское</w:t>
            </w:r>
            <w:proofErr w:type="spellEnd"/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связи с чрезвычайной ситуацией, связанной выходом из строя глубинного насоса на скважине №1,2 пос. </w:t>
            </w:r>
            <w:proofErr w:type="spellStart"/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Сватково</w:t>
            </w:r>
            <w:proofErr w:type="spellEnd"/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были выделены  бюджетные средства в </w:t>
            </w:r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сумме 172,3 </w:t>
            </w:r>
            <w:proofErr w:type="spellStart"/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55117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5511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(Постановления Главы от 23.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10.2014 №21, от 27.10.2014 №22).</w:t>
            </w:r>
          </w:p>
          <w:p w:rsidR="005B7666" w:rsidRPr="00C96035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Рас</w:t>
            </w:r>
            <w:r w:rsidRPr="00C9603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ходы МУП «Ресурс».</w:t>
            </w:r>
          </w:p>
          <w:p w:rsidR="005B7666" w:rsidRDefault="005B7666" w:rsidP="00C56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На балансовом счете 51  «Расчетный счет» отражены </w:t>
            </w:r>
            <w:r w:rsidRPr="002203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остатки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денежных средств на начало 2014г. в сумме 289 364,07</w:t>
            </w:r>
            <w:r w:rsidRPr="0022037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руб.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 конец года  в сумме 4 529 875,50 руб. Проверке представлены подтверждения остатков по расчетным счетам, по которым проводились операции в 2014г., в том числе:</w:t>
            </w:r>
          </w:p>
          <w:p w:rsidR="005B7666" w:rsidRPr="000F71BF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- «ТКБ» (ЗАО) №40702810020110000218 </w:t>
            </w:r>
            <w:r w:rsidRPr="000F7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сумме на начало года  14 569,28 руб.; на конец года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Pr="000F7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5B7666" w:rsidRPr="000F71BF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-  АКБ «ВПБ» (ЗАО) г. Москва №40702.810.5.00210000056 </w:t>
            </w:r>
            <w:r w:rsidRPr="000F7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сумме на начало года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Pr="000F7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руб.; на конец года 11 743,31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5B7666" w:rsidRPr="000F71BF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- Московский филиал АКБ «Крыловский» (ОАО) доп. Офис «Сергиев Посад» №40702810938040000033  </w:t>
            </w:r>
            <w:r w:rsidRPr="000F7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сумме  на начало года  2 534,9руб.;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конец года 0,0</w:t>
            </w:r>
            <w:r w:rsidRPr="000F7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- ООО КБ «ОПМ-Банк» №40602810246000028803 </w:t>
            </w:r>
            <w:r w:rsidRPr="000F7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сумме на начало года  272 259,89 руб., на конец года 0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- </w:t>
            </w:r>
            <w:r w:rsidRPr="000F7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«РОСТ БАНК»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40702810020000000023  </w:t>
            </w:r>
            <w:r w:rsidRPr="000F7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сумме на начало года 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Pr="000F71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руб.; на конец года 143 757,87 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5B7666" w:rsidRPr="00ED421A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- Филиал №13 «Подмосковье» АКБ МОСОБЛБАНК ОАО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4A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 сумме на начало года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  <w:r w:rsidRPr="004B4A1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руб.; на конец года  4 374 373,32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Дебиторская задолженность по балансовому счету 62 «Расчеты с покупателями и заказчиками» за предоставленные  жилищно-коммунальные услуги в 2014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увеличилась по сравнению с началом года на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23,4</w:t>
            </w:r>
            <w:r w:rsidRPr="00B67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%.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 данным бух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галтерского учета  на 01.01.2014г.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числилась дебиторская задолженность в сумме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33 362 524,41</w:t>
            </w:r>
            <w:r w:rsidRPr="00B67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на конец года  дебиторская задолженность составила в сумме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43 528 202,86</w:t>
            </w:r>
            <w:r w:rsidRPr="00B67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 деби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торы  по состоянию на 01.01.2015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г.: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 «ПСК» </w:t>
            </w:r>
            <w:proofErr w:type="spellStart"/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301 201,93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Экоокна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- 754 793,20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ГУП ППЗ СГЦ «Смена» - 359 120,55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Физические лица  (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атежи населения) – 41 793 176,30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gramStart"/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кредиторская задолженность по поставщикам по балансовому счету 60  «Расчеты с поставщиками и подря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дчиками» за 2014 год уменьшилась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сравнению с началом года на </w:t>
            </w:r>
            <w:r w:rsidRPr="00D54D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  <w:r w:rsidRPr="00B67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%.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данным бух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галтерского учета  на 01.01.2014г.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числилась кредиторская задолженность в сумме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58 368 246,63</w:t>
            </w:r>
            <w:r w:rsidRPr="00B67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на конец года  кредиторская задолженность составила в сумме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55 533 585,52</w:t>
            </w:r>
            <w:r w:rsidRPr="00B67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  креди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торы  по состоянию на 01.01.2015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г.: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МУП «Водоканал» - 7 087 689,57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ООО Газпром </w:t>
            </w:r>
            <w:proofErr w:type="spellStart"/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егионгаз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Москва  – 37 450 901,81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- 7 936 633,76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«Торгово-строител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ьная компания» - 471 466,96руб.</w:t>
            </w:r>
          </w:p>
          <w:p w:rsidR="005B7666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 Таланов М.А.» - 1 925 984,96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ЕИРЦ ООО – 466 169,37руб.</w:t>
            </w:r>
          </w:p>
          <w:p w:rsidR="005B7666" w:rsidRPr="00B675DB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Основным кредитором является ООО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Газпром </w:t>
            </w:r>
            <w:proofErr w:type="spellStart"/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Задо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лженность в сумме 37 450 901,81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 подтверждена актом сверки взаиморасчетов. Согласно выста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вленным счетам в 2014 г.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осуществлена поста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вка газа на сумму 32 033 192,42 руб., оплачено в 2014 г.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поста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вленный газ в сумме 39 420 638,37</w:t>
            </w:r>
            <w:r w:rsidRPr="00B67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5B7666" w:rsidRPr="00FE0ACD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62CC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</w:t>
            </w:r>
            <w:r w:rsidRPr="00FE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счету - фактуре от 31.01.2014г. №11124Ф ООО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E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Газпром </w:t>
            </w:r>
            <w:proofErr w:type="spellStart"/>
            <w:r w:rsidRPr="00FE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межрегионгаз</w:t>
            </w:r>
            <w:proofErr w:type="spellEnd"/>
            <w:r w:rsidRPr="00FE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E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тариф за газ составил 4 922,38 руб. за 10куб.м. +  тариф на </w:t>
            </w:r>
            <w:proofErr w:type="gramStart"/>
            <w:r w:rsidRPr="00FE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снабженческо - сбытовые</w:t>
            </w:r>
            <w:proofErr w:type="gramEnd"/>
            <w:r w:rsidRPr="00FE0A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услуги составил 56,10руб. за 10куб.м.;  Согласно счету - фактуре от 31.12.2014г. №168236Ф тариф за газ составил 4 949,09 руб. за 10куб.м. + тариф на снабженческо- сбытовые услуги составил 58,33руб. за 10куб.м.;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Рост тарифа по газу  за 2014 г.</w:t>
            </w:r>
            <w:r w:rsidRPr="00FE0AC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составил 0,6%.</w:t>
            </w:r>
          </w:p>
          <w:p w:rsidR="005B7666" w:rsidRPr="00AC14D7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Согласно счету-фактуре от 31.01.2014 г. №Э-25/01-1092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ОАО «</w:t>
            </w:r>
            <w:proofErr w:type="spellStart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 средний тариф на электроэнергию по нерегулируемой цене составил 4,5145квт</w:t>
            </w:r>
            <w:proofErr w:type="gramStart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ас.;</w:t>
            </w:r>
          </w:p>
          <w:p w:rsidR="005B7666" w:rsidRPr="00AC14D7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Согласно счету-фактуре от 31.10.2014 г. №Э-25/01-14275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ОАО «</w:t>
            </w:r>
            <w:proofErr w:type="spellStart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Мосэнергосбыт</w:t>
            </w:r>
            <w:proofErr w:type="spellEnd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 средний тариф на электроэнергию по нерегулируемой цене составил 4,7313 </w:t>
            </w:r>
            <w:proofErr w:type="spellStart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gramStart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AC14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7666" w:rsidRPr="00A32681" w:rsidRDefault="005B7666" w:rsidP="00C561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14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Рост тарифа на электроэнергию в 2014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  <w:r w:rsidR="006E37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составил 4,6 %</w:t>
            </w:r>
            <w:r w:rsidR="006E37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6E37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="006E378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5B7666" w:rsidRPr="005C3C2C" w:rsidTr="00C56139">
        <w:trPr>
          <w:gridBefore w:val="1"/>
          <w:wBefore w:w="6" w:type="dxa"/>
          <w:trHeight w:val="302"/>
        </w:trPr>
        <w:tc>
          <w:tcPr>
            <w:tcW w:w="26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B7666" w:rsidRPr="001E7A42" w:rsidRDefault="005B7666" w:rsidP="00C561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2A529B" w:rsidRDefault="005B7666" w:rsidP="00C56139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2A529B" w:rsidRDefault="005B7666" w:rsidP="00C56139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2A529B" w:rsidRDefault="005B7666" w:rsidP="00C56139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2A529B" w:rsidRDefault="005B7666" w:rsidP="00C56139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  <w:tc>
          <w:tcPr>
            <w:tcW w:w="13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7666" w:rsidRPr="002A529B" w:rsidRDefault="005B7666" w:rsidP="00C56139">
            <w:pPr>
              <w:spacing w:after="0" w:line="240" w:lineRule="auto"/>
              <w:rPr>
                <w:color w:val="FF0000"/>
                <w:lang w:eastAsia="ru-RU"/>
              </w:rPr>
            </w:pPr>
          </w:p>
        </w:tc>
      </w:tr>
    </w:tbl>
    <w:p w:rsidR="005B7666" w:rsidRPr="006E3789" w:rsidRDefault="006E3789" w:rsidP="006E37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3789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>нформация и документы по данному</w:t>
      </w:r>
      <w:r w:rsidRPr="006E3789">
        <w:rPr>
          <w:rFonts w:ascii="Times New Roman" w:hAnsi="Times New Roman" w:cs="Times New Roman"/>
          <w:b/>
          <w:bCs/>
          <w:sz w:val="24"/>
          <w:szCs w:val="24"/>
        </w:rPr>
        <w:t xml:space="preserve"> контрольному мероприятию направлены в Сергиево-Посадскую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городскую П</w:t>
      </w:r>
      <w:r w:rsidRPr="006E3789">
        <w:rPr>
          <w:rFonts w:ascii="Times New Roman" w:hAnsi="Times New Roman" w:cs="Times New Roman"/>
          <w:b/>
          <w:bCs/>
          <w:sz w:val="24"/>
          <w:szCs w:val="24"/>
        </w:rPr>
        <w:t>рокуратуру.</w:t>
      </w:r>
    </w:p>
    <w:p w:rsidR="008F0932" w:rsidRPr="006E3789" w:rsidRDefault="008F0932">
      <w:pPr>
        <w:rPr>
          <w:b/>
        </w:rPr>
      </w:pPr>
    </w:p>
    <w:sectPr w:rsidR="008F0932" w:rsidRPr="006E3789" w:rsidSect="00A379B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3C" w:rsidRDefault="0087223C">
      <w:pPr>
        <w:spacing w:after="0" w:line="240" w:lineRule="auto"/>
      </w:pPr>
      <w:r>
        <w:separator/>
      </w:r>
    </w:p>
  </w:endnote>
  <w:endnote w:type="continuationSeparator" w:id="0">
    <w:p w:rsidR="0087223C" w:rsidRDefault="0087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17" w:rsidRDefault="005B766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9067A">
      <w:rPr>
        <w:noProof/>
      </w:rPr>
      <w:t>10</w:t>
    </w:r>
    <w:r>
      <w:rPr>
        <w:noProof/>
      </w:rPr>
      <w:fldChar w:fldCharType="end"/>
    </w:r>
  </w:p>
  <w:p w:rsidR="00D70717" w:rsidRDefault="008722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3C" w:rsidRDefault="0087223C">
      <w:pPr>
        <w:spacing w:after="0" w:line="240" w:lineRule="auto"/>
      </w:pPr>
      <w:r>
        <w:separator/>
      </w:r>
    </w:p>
  </w:footnote>
  <w:footnote w:type="continuationSeparator" w:id="0">
    <w:p w:rsidR="0087223C" w:rsidRDefault="0087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17" w:rsidRDefault="008722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F1E"/>
    <w:multiLevelType w:val="hybridMultilevel"/>
    <w:tmpl w:val="E49CB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B03"/>
    <w:multiLevelType w:val="hybridMultilevel"/>
    <w:tmpl w:val="5B90FE76"/>
    <w:lvl w:ilvl="0" w:tplc="1574619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B7"/>
    <w:rsid w:val="0039067A"/>
    <w:rsid w:val="003C3EF7"/>
    <w:rsid w:val="00450D9B"/>
    <w:rsid w:val="005B7666"/>
    <w:rsid w:val="006E3789"/>
    <w:rsid w:val="0087223C"/>
    <w:rsid w:val="008F0932"/>
    <w:rsid w:val="009975B3"/>
    <w:rsid w:val="00C16347"/>
    <w:rsid w:val="00C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6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List Paragraph"/>
    <w:basedOn w:val="a"/>
    <w:uiPriority w:val="99"/>
    <w:qFormat/>
    <w:rsid w:val="005B7666"/>
    <w:pPr>
      <w:ind w:left="720"/>
    </w:pPr>
  </w:style>
  <w:style w:type="paragraph" w:styleId="a6">
    <w:name w:val="header"/>
    <w:basedOn w:val="a"/>
    <w:link w:val="a7"/>
    <w:uiPriority w:val="99"/>
    <w:rsid w:val="005B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666"/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5B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666"/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6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6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List Paragraph"/>
    <w:basedOn w:val="a"/>
    <w:uiPriority w:val="99"/>
    <w:qFormat/>
    <w:rsid w:val="005B7666"/>
    <w:pPr>
      <w:ind w:left="720"/>
    </w:pPr>
  </w:style>
  <w:style w:type="paragraph" w:styleId="a6">
    <w:name w:val="header"/>
    <w:basedOn w:val="a"/>
    <w:link w:val="a7"/>
    <w:uiPriority w:val="99"/>
    <w:rsid w:val="005B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7666"/>
    <w:rPr>
      <w:rFonts w:ascii="Calibri" w:eastAsia="Calibri" w:hAnsi="Calibri" w:cs="Calibri"/>
      <w:sz w:val="22"/>
      <w:szCs w:val="22"/>
    </w:rPr>
  </w:style>
  <w:style w:type="paragraph" w:styleId="a8">
    <w:name w:val="footer"/>
    <w:basedOn w:val="a"/>
    <w:link w:val="a9"/>
    <w:uiPriority w:val="99"/>
    <w:rsid w:val="005B7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7666"/>
    <w:rPr>
      <w:rFonts w:ascii="Calibri" w:eastAsia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B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76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4165</Words>
  <Characters>23742</Characters>
  <Application>Microsoft Office Word</Application>
  <DocSecurity>0</DocSecurity>
  <Lines>197</Lines>
  <Paragraphs>55</Paragraphs>
  <ScaleCrop>false</ScaleCrop>
  <Company/>
  <LinksUpToDate>false</LinksUpToDate>
  <CharactersWithSpaces>27852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2016-05-24T06:49:00Z</dcterms:created>
  <dcterms:modified xsi:type="dcterms:W3CDTF">2016-05-24T08:44:00Z</dcterms:modified>
</cp:coreProperties>
</file>