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23" w:rsidRPr="00B61CE0" w:rsidRDefault="00D84423" w:rsidP="00D84423">
      <w:pPr>
        <w:widowControl w:val="0"/>
        <w:autoSpaceDE w:val="0"/>
        <w:autoSpaceDN w:val="0"/>
        <w:jc w:val="center"/>
        <w:rPr>
          <w:rFonts w:hint="eastAsia"/>
          <w:b/>
          <w:sz w:val="40"/>
          <w:szCs w:val="40"/>
          <w:lang w:eastAsia="ru-RU" w:bidi="ru-RU"/>
        </w:rPr>
      </w:pPr>
      <w:r>
        <w:rPr>
          <w:noProof/>
          <w:lang w:eastAsia="ru-RU" w:bidi="ar-SA"/>
        </w:rPr>
        <w:drawing>
          <wp:inline distT="0" distB="0" distL="0" distR="0">
            <wp:extent cx="62801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423" w:rsidRPr="00B61CE0" w:rsidRDefault="00D84423" w:rsidP="00D84423">
      <w:pPr>
        <w:widowControl w:val="0"/>
        <w:autoSpaceDE w:val="0"/>
        <w:autoSpaceDN w:val="0"/>
        <w:jc w:val="center"/>
        <w:rPr>
          <w:rFonts w:hint="eastAsia"/>
          <w:b/>
          <w:sz w:val="40"/>
          <w:szCs w:val="40"/>
          <w:lang w:eastAsia="ru-RU" w:bidi="ru-RU"/>
        </w:rPr>
      </w:pPr>
      <w:r w:rsidRPr="00B61CE0">
        <w:rPr>
          <w:b/>
          <w:sz w:val="40"/>
          <w:szCs w:val="40"/>
          <w:lang w:eastAsia="ru-RU" w:bidi="ru-RU"/>
        </w:rPr>
        <w:t>Контрольно-счетная палата</w:t>
      </w:r>
    </w:p>
    <w:p w:rsidR="00D84423" w:rsidRPr="00B61CE0" w:rsidRDefault="00D84423" w:rsidP="00D84423">
      <w:pPr>
        <w:widowControl w:val="0"/>
        <w:autoSpaceDE w:val="0"/>
        <w:autoSpaceDN w:val="0"/>
        <w:jc w:val="center"/>
        <w:rPr>
          <w:rFonts w:hint="eastAsia"/>
          <w:b/>
          <w:sz w:val="40"/>
          <w:szCs w:val="40"/>
          <w:lang w:eastAsia="ru-RU" w:bidi="ru-RU"/>
        </w:rPr>
      </w:pPr>
      <w:r w:rsidRPr="00B61CE0">
        <w:rPr>
          <w:b/>
          <w:sz w:val="40"/>
          <w:szCs w:val="40"/>
          <w:lang w:eastAsia="ru-RU" w:bidi="ru-RU"/>
        </w:rPr>
        <w:t>Сергиево-Посадского городского округа</w:t>
      </w:r>
    </w:p>
    <w:p w:rsidR="00CD794E" w:rsidRDefault="00D84423" w:rsidP="00D84423">
      <w:pPr>
        <w:jc w:val="center"/>
        <w:rPr>
          <w:rFonts w:hint="eastAsia"/>
        </w:rPr>
      </w:pPr>
      <w:r>
        <w:rPr>
          <w:b/>
          <w:sz w:val="40"/>
          <w:szCs w:val="40"/>
          <w:lang w:eastAsia="ru-RU" w:bidi="ru-RU"/>
        </w:rPr>
        <w:t>Московской области</w:t>
      </w: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423" w:rsidRDefault="00D84423" w:rsidP="00661B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355" w:rsidRPr="001E4355" w:rsidRDefault="001E4355" w:rsidP="001E435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4355">
        <w:rPr>
          <w:rFonts w:ascii="Times New Roman" w:hAnsi="Times New Roman"/>
          <w:b/>
          <w:bCs/>
          <w:sz w:val="28"/>
          <w:szCs w:val="28"/>
        </w:rPr>
        <w:t xml:space="preserve">СТАНДАРТ ОРГАНИЗАЦИИ ДЕЯТЕЛЬНОСТИ </w:t>
      </w:r>
    </w:p>
    <w:p w:rsidR="001E4355" w:rsidRPr="001E4355" w:rsidRDefault="001E4355" w:rsidP="001E43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94E" w:rsidRDefault="001E4355" w:rsidP="001E435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4355">
        <w:rPr>
          <w:rFonts w:ascii="Times New Roman" w:hAnsi="Times New Roman"/>
          <w:b/>
          <w:bCs/>
          <w:sz w:val="28"/>
          <w:szCs w:val="28"/>
        </w:rPr>
        <w:t xml:space="preserve">«ПОРЯДОК ОРГАНИЗАЦИИ МЕТОДОЛОГИЧЕСКОГО ОБЕСПЕЧЕНИЯ ДЕЯТЕЛЬНОСТИ КОНТРОЛЬНО-СЧЕТНОЙ ПАЛАТЫ </w:t>
      </w:r>
      <w:r>
        <w:rPr>
          <w:rFonts w:ascii="Times New Roman" w:hAnsi="Times New Roman"/>
          <w:b/>
          <w:bCs/>
          <w:sz w:val="28"/>
          <w:szCs w:val="28"/>
        </w:rPr>
        <w:t>СЕРГИЕВО-ПОСАДСКОГО ГОРОДСКОГО ОКРУГА МОСКОВСКОЙ ОБЛАСТИ</w:t>
      </w:r>
      <w:r w:rsidRPr="001E4355">
        <w:rPr>
          <w:rFonts w:ascii="Times New Roman" w:hAnsi="Times New Roman"/>
          <w:b/>
          <w:bCs/>
          <w:sz w:val="28"/>
          <w:szCs w:val="28"/>
        </w:rPr>
        <w:t>»</w:t>
      </w: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661BC7" w:rsidRDefault="00661BC7" w:rsidP="00661BC7">
      <w:pPr>
        <w:ind w:left="567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61BC7" w:rsidRDefault="00661BC7" w:rsidP="00661BC7">
      <w:pPr>
        <w:ind w:left="567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распоряжением председателя</w:t>
      </w:r>
    </w:p>
    <w:p w:rsidR="00661BC7" w:rsidRDefault="00661BC7" w:rsidP="00661BC7">
      <w:pPr>
        <w:ind w:left="567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661BC7" w:rsidRDefault="00661BC7" w:rsidP="00661BC7">
      <w:pPr>
        <w:ind w:left="567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от 29.10.2019 № 7</w:t>
      </w:r>
      <w:r w:rsidR="001E43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/19-РП </w:t>
      </w: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hint="eastAsia"/>
          <w:b/>
          <w:bCs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CD794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94E" w:rsidRDefault="00661BC7" w:rsidP="00661B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 Посад</w:t>
      </w:r>
    </w:p>
    <w:p w:rsidR="00CD794E" w:rsidRDefault="00496ECE" w:rsidP="00661B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CD794E" w:rsidRDefault="00CD794E">
      <w:pPr>
        <w:jc w:val="both"/>
      </w:pPr>
    </w:p>
    <w:p w:rsidR="005421DC" w:rsidRDefault="005421DC">
      <w:pPr>
        <w:jc w:val="both"/>
        <w:rPr>
          <w:rFonts w:hint="eastAsi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Содержание</w:t>
      </w:r>
    </w:p>
    <w:p w:rsidR="001E4355" w:rsidRPr="001E4355" w:rsidRDefault="001E4355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1. Общие положения…………………………………………………………………..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4D16C0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</w:p>
    <w:p w:rsidR="004D16C0" w:rsidRDefault="004D16C0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4355" w:rsidRDefault="001E4355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2. Методологическое обеспечение деятельности Контрольно-счетной палаты</w:t>
      </w:r>
    </w:p>
    <w:p w:rsidR="001E4355" w:rsidRPr="001E4355" w:rsidRDefault="001E4355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Сергиево-Посадского городского округа Московской области                                 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4D16C0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</w:p>
    <w:p w:rsidR="004D16C0" w:rsidRDefault="004D16C0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4355" w:rsidRDefault="001E4355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3. Виды документов по методологическому обеспечению деятельности</w:t>
      </w:r>
    </w:p>
    <w:p w:rsidR="001E4355" w:rsidRDefault="001E4355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color w:val="auto"/>
          <w:lang w:bidi="ar-SA"/>
        </w:rPr>
        <w:t>Сергиево-Посадского городского округа</w:t>
      </w:r>
    </w:p>
    <w:p w:rsidR="001E4355" w:rsidRPr="001E4355" w:rsidRDefault="001E4355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, основные требования к их содержанию..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D16C0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</w:p>
    <w:p w:rsidR="004D16C0" w:rsidRDefault="004D16C0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4355" w:rsidRPr="001E4355" w:rsidRDefault="001E4355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4. Организация разработки стандар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тов и методических документов 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Сергиево-Посадского городского округа Московской области       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1E4355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</w:p>
    <w:p w:rsidR="004D16C0" w:rsidRDefault="004D16C0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4355" w:rsidRPr="001E4355" w:rsidRDefault="001E4355" w:rsidP="001E4355">
      <w:pPr>
        <w:suppressAutoHyphens/>
        <w:ind w:right="593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5. Внесение изменений в</w:t>
      </w:r>
      <w:r w:rsidRPr="001E435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стандарты и методические документы Контрольно-счетной палаты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Сергиево-Посадского городского округа 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и признание их </w:t>
      </w:r>
      <w:proofErr w:type="gramStart"/>
      <w:r w:rsidRPr="001E4355">
        <w:rPr>
          <w:rFonts w:ascii="Times New Roman" w:eastAsia="Times New Roman" w:hAnsi="Times New Roman" w:cs="Times New Roman"/>
          <w:color w:val="auto"/>
          <w:lang w:bidi="ar-SA"/>
        </w:rPr>
        <w:t>утратившими</w:t>
      </w:r>
      <w:proofErr w:type="gramEnd"/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силу………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………</w:t>
      </w:r>
      <w:r w:rsidRPr="001E4355"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1E4355" w:rsidRDefault="001E4355" w:rsidP="001E4355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4355" w:rsidRPr="004D16C0" w:rsidRDefault="001E4355" w:rsidP="004D16C0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D16C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Общие положения</w:t>
      </w:r>
    </w:p>
    <w:p w:rsidR="004D16C0" w:rsidRPr="004D16C0" w:rsidRDefault="004D16C0" w:rsidP="004D16C0">
      <w:pPr>
        <w:pStyle w:val="af"/>
        <w:suppressAutoHyphens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1.1. Стандарт организации деятельности Контрольно-счетной палаты </w:t>
      </w:r>
      <w:r>
        <w:rPr>
          <w:rFonts w:ascii="Times New Roman" w:eastAsia="Times New Roman" w:hAnsi="Times New Roman" w:cs="Times New Roman"/>
          <w:color w:val="auto"/>
          <w:lang w:bidi="ar-SA"/>
        </w:rPr>
        <w:t>Сергиево-Посадского городского округа 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«Порядок организации методологического обеспечения деятельности Контрольно-счетной палаты </w:t>
      </w:r>
      <w:r>
        <w:rPr>
          <w:rFonts w:ascii="Times New Roman" w:eastAsia="Times New Roman" w:hAnsi="Times New Roman" w:cs="Times New Roman"/>
          <w:color w:val="auto"/>
          <w:lang w:bidi="ar-SA"/>
        </w:rPr>
        <w:t>Сергиево-Посадского городского округа 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» (далее – Стандарт) разработан в соответствии с Положением о Контрольно-счетной палате </w:t>
      </w:r>
      <w:r>
        <w:rPr>
          <w:rFonts w:ascii="Times New Roman" w:eastAsia="Times New Roman" w:hAnsi="Times New Roman" w:cs="Times New Roman"/>
          <w:color w:val="auto"/>
          <w:lang w:bidi="ar-SA"/>
        </w:rPr>
        <w:t>Сергиево-Посадского городского округа 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и Регламентом Контрольно-счетной палаты </w:t>
      </w:r>
      <w:r>
        <w:rPr>
          <w:rFonts w:ascii="Times New Roman" w:eastAsia="Times New Roman" w:hAnsi="Times New Roman" w:cs="Times New Roman"/>
          <w:color w:val="auto"/>
          <w:lang w:bidi="ar-SA"/>
        </w:rPr>
        <w:t>Сергиево-Посадского городского округа 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(далее - Регламент).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1.2. Настоящий Стандарт предназначен для регламентации методологического обеспечения деятельности Контрольно-счетной палаты </w:t>
      </w:r>
      <w:r>
        <w:rPr>
          <w:rFonts w:ascii="Times New Roman" w:eastAsia="Times New Roman" w:hAnsi="Times New Roman" w:cs="Times New Roman"/>
          <w:color w:val="auto"/>
          <w:lang w:bidi="ar-SA"/>
        </w:rPr>
        <w:t>Сергиево-Посадского городского округа 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(далее - Контрольно-счетная палата), осуществляемого путем формирования системы стандартов и методических документов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1.3. </w:t>
      </w:r>
      <w:r w:rsidRPr="001E4355">
        <w:rPr>
          <w:rFonts w:ascii="Times New Roman" w:eastAsia="Times New Roman" w:hAnsi="Times New Roman" w:cs="Times New Roman"/>
          <w:color w:val="auto"/>
          <w:spacing w:val="-20"/>
          <w:lang w:bidi="ar-SA"/>
        </w:rPr>
        <w:t>Настоящий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Стандарт устанавливает: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требования к содержанию стандартов и методических документов Контрольно-счетной палаты;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порядок подготовки, согласования, утверждения и введения в действие стандартов и методических документов Контрольно-счетной палаты;</w:t>
      </w:r>
    </w:p>
    <w:p w:rsid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порядок внесения изменений в стандарты и методические документы Контрольно-счетной палаты и признания их </w:t>
      </w:r>
      <w:proofErr w:type="gramStart"/>
      <w:r w:rsidR="004D16C0">
        <w:rPr>
          <w:rFonts w:ascii="Times New Roman" w:eastAsia="Times New Roman" w:hAnsi="Times New Roman" w:cs="Times New Roman"/>
          <w:color w:val="auto"/>
          <w:lang w:bidi="ar-SA"/>
        </w:rPr>
        <w:t>утратившими</w:t>
      </w:r>
      <w:proofErr w:type="gramEnd"/>
      <w:r w:rsidR="004D16C0">
        <w:rPr>
          <w:rFonts w:ascii="Times New Roman" w:eastAsia="Times New Roman" w:hAnsi="Times New Roman" w:cs="Times New Roman"/>
          <w:color w:val="auto"/>
          <w:lang w:bidi="ar-SA"/>
        </w:rPr>
        <w:t xml:space="preserve"> силу.</w:t>
      </w:r>
    </w:p>
    <w:p w:rsidR="004D16C0" w:rsidRPr="001E4355" w:rsidRDefault="004D16C0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</w:p>
    <w:p w:rsidR="001E4355" w:rsidRPr="004D16C0" w:rsidRDefault="001E4355" w:rsidP="004D16C0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D16C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Методологическое обеспечение деятельности Контрольно-счетной палаты</w:t>
      </w:r>
    </w:p>
    <w:p w:rsidR="004D16C0" w:rsidRPr="004D16C0" w:rsidRDefault="004D16C0" w:rsidP="004D16C0">
      <w:pPr>
        <w:pStyle w:val="af"/>
        <w:suppressAutoHyphens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2.1. Методологическое обеспечение деятельности Контрольно-счетной палаты осуществляется в целях формирования и совершенствования системы внутреннего методического регулирования деятельности Контрольно-счетной палаты, способствующей качественному выполнению задач, возложенных на Контрольно-счетную палату, повышению уровня эффективности ее контрольной и экспертно-аналитической деятельности.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2.2. Методологическое обеспечение деятельности Контрольно-счетной палаты заключается в создании единой системы взаимоувязанных стандартов и методических документов, обеспечивающих реализацию всех полномочий и видов деятельности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2.3. Решение задач методологического обеспечения в Контрольно-счетной палате осуществляется путем:</w:t>
      </w:r>
    </w:p>
    <w:p w:rsidR="001E4355" w:rsidRPr="001E4355" w:rsidRDefault="001E4355" w:rsidP="00CC1D9D">
      <w:pPr>
        <w:suppressAutoHyphens/>
        <w:autoSpaceDE w:val="0"/>
        <w:ind w:firstLine="1134"/>
        <w:jc w:val="both"/>
        <w:rPr>
          <w:rFonts w:ascii="Times New Roman" w:eastAsia="Arial" w:hAnsi="Times New Roman" w:cs="Times New Roman"/>
          <w:color w:val="000000"/>
          <w:lang w:bidi="ar-SA"/>
        </w:rPr>
      </w:pPr>
      <w:r w:rsidRPr="001E4355">
        <w:rPr>
          <w:rFonts w:ascii="Times New Roman" w:eastAsia="Arial" w:hAnsi="Times New Roman" w:cs="Times New Roman"/>
          <w:color w:val="000000"/>
          <w:lang w:bidi="ar-SA"/>
        </w:rPr>
        <w:t>разработки стандартов и методических документов</w:t>
      </w:r>
      <w:r w:rsidRPr="001E4355">
        <w:rPr>
          <w:rFonts w:ascii="Times New Roman" w:eastAsia="Arial" w:hAnsi="Times New Roman" w:cs="Times New Roman"/>
          <w:bCs/>
          <w:color w:val="000000"/>
          <w:lang w:bidi="ar-SA"/>
        </w:rPr>
        <w:t xml:space="preserve"> с учетом о</w:t>
      </w:r>
      <w:r w:rsidRPr="001E4355">
        <w:rPr>
          <w:rFonts w:ascii="Times New Roman" w:eastAsia="Arial" w:hAnsi="Times New Roman" w:cs="Times New Roman"/>
          <w:color w:val="000000"/>
          <w:lang w:bidi="ar-SA"/>
        </w:rPr>
        <w:t>бщих требований к стандартам внешнего муниципального финансового контроля;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анализа применения стандартов и методических документов Контрольно-счетной палаты в ходе осуществления контрольной и экспертно-аналитической деятельности;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использования законодательства Российской Федерации, Московской области, </w:t>
      </w:r>
      <w:r>
        <w:rPr>
          <w:rFonts w:ascii="Times New Roman" w:eastAsia="Times New Roman" w:hAnsi="Times New Roman" w:cs="Times New Roman"/>
          <w:color w:val="auto"/>
          <w:lang w:bidi="ar-SA"/>
        </w:rPr>
        <w:t>Сергиево-Посадского городского округа 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, методологических материалов, регламентирующих контрольно-ревизионную и экспертно-аналитическую деятельность, а также обобщения опыта методологического обеспечения деятельности и практического опыта контрольной и экспертно-аналитической деятельности.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2.4. Общее руководство методологическим обеспечением деятельности Контрольно-счетной палаты осуществляют председатель Контрольно-счетной палаты.</w:t>
      </w:r>
    </w:p>
    <w:p w:rsidR="004D16C0" w:rsidRDefault="001E4355" w:rsidP="004D16C0">
      <w:pPr>
        <w:suppressAutoHyphens/>
        <w:ind w:firstLine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Председатель Контрольно-счетной палаты осуществляет работу по подготовке стандартов и методических документов, внесению в них изменений, также формирует и обновляет Реестр нормативных и методических докуме</w:t>
      </w:r>
      <w:r w:rsidR="004D16C0">
        <w:rPr>
          <w:rFonts w:ascii="Times New Roman" w:eastAsia="Times New Roman" w:hAnsi="Times New Roman" w:cs="Times New Roman"/>
          <w:color w:val="auto"/>
          <w:lang w:bidi="ar-SA"/>
        </w:rPr>
        <w:t>нтов Контрольно-счетной палаты.</w:t>
      </w:r>
    </w:p>
    <w:p w:rsidR="004D16C0" w:rsidRDefault="004D16C0" w:rsidP="004D16C0">
      <w:pPr>
        <w:suppressAutoHyphens/>
        <w:ind w:firstLine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4355" w:rsidRPr="004D16C0" w:rsidRDefault="001E4355" w:rsidP="004D16C0">
      <w:pPr>
        <w:pStyle w:val="af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16C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Виды документов по методологическому обеспечению деятельности Контрольно-счетной палаты, основные требования к их содержанию</w:t>
      </w:r>
    </w:p>
    <w:p w:rsidR="004D16C0" w:rsidRPr="004D16C0" w:rsidRDefault="004D16C0" w:rsidP="004D16C0">
      <w:pPr>
        <w:pStyle w:val="af"/>
        <w:suppressAutoHyphens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3.1. Документы по методологическому обеспечению деятельности Контрольно-счетной палаты разделяются на стандарты и методические документы.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3.2. Стандарты устанавливают правила, руководящие принципы и характеристики осуществления различных форм и видов деятельности Контрольно-счетной палаты для достижения оптимальной степени ее упорядоченности.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В Контрольно-счетной палате действуют стандарты организации деятельности Контрольно-счетной палаты и стандарты внешнего муниципального финансового контроля.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Стандарты организации деятельности Контрольно-счетной палаты устанавливают принципы, правила и требования к организации планирования работы Контрольно-счетной палаты и подготовке отчетов о ее работе, осуществлению взаимодействия Контрольно-счетной палаты с другими контрольными органами и т.п.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Стандарты внешнего муниципального финансового контроля устанавливают принципы и правила осуществления контрольной и экспертно-аналитической деятельности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Стандарты являются обязательными для исполнения всеми должностными лицами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3.3. Методические документы содержат описание способов реализации положений стандартов и иных нормативных документов Контрольно-счетной палаты или отдельных процедур осуществления видов деятельности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Методические документы делятся </w:t>
      </w:r>
      <w:proofErr w:type="gramStart"/>
      <w:r w:rsidRPr="001E4355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общие и специализированные.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Общие методические документы разрабатываются для применения в Контрольно-счетной палате и регламентируют общие вопросы осуществления контрольной и экспертно-аналитической деятельности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Специализированные методические документы разрабатываются в дополнение или развитие положений общих методических документов для регулирования отдельных вопросов осуществления контрольной и экспертно-аналитической деятельности Контрольно-счетной палаты и (или) для применения в рамках содержания одного или нескольких направлений деятельности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В Контрольно-счетной палате могут разрабатываться и применяться следующие виды методических документов: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Классификатор - документ, устанавливающий систематизированный перечень наименований и кодов объектов классификации и/или классификационных групп;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Методика - документ, содержащий описание различных способов реализации положений нормативного документа или осуществления отдельных видов деятельности в Контрольно-счетной палате;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Методические указания - документ, содержащий описание обязательных для выполнения способов реализации положений нормативных документов или осуществления отдельных видов деятельности Контрольно-счетной палаты;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Методические рекомендации - документ, содержащий описание рекомендуемых для выполнения способов реализации положений нормативных документов или осуществления отдельных видов деятельности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3.4. Стандарты и методические документы Контрольно-счетной палаты должны отвечать следующим основным требованиям: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законности - документ не должен содержать положения, противоречащие законодательству Российской Федерации;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целесообразности - документ должен соответствовать поставленным целям его разработки;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четкости и ясности - в документе должна быть обеспечена однозначность понимания изложенных в нем положений;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логической стройности - должны быть обеспечены последовательность и целостность изложения положений;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полноты - в одном документе должен быть максимально полно охвачен регламентируемый им предмет;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преемственности и непротиворечивости - должны быть обеспечены взаимосвязь и согласованность с ранее принятыми документами, должно отсутствовать дублирование их положений;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единства терминологической базы - должна быть обеспечена одинаковая трактовка применяемых терминов.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3.5. Стандарт и методический документ должны иметь следующую структуру: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титульный лист;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общие положения (раздел, в котором отражается необходимость данного документа, дается определение его основных терминов и понятий, описываются сфера и объекты применения, цели и задачи, а также взаимосвязь с другими документами);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содержание документа (сущность рассматриваемых проблем, определение основных принципов и методов, технических приемов решения вопросов, рассматриваемых в документе);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перечень законодательных и иных нормативных правовых актов, которыми необходимо руководствоваться при выполнении процедур, определенных методическим документом (при необходимости);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приложения - таблицы, графические материалы, формы и т. п. (при необходимости).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3.6. Стандарты и методические документы должны иметь реквизиты, которые состоят </w:t>
      </w:r>
      <w:proofErr w:type="gramStart"/>
      <w:r w:rsidRPr="001E4355">
        <w:rPr>
          <w:rFonts w:ascii="Times New Roman" w:eastAsia="Times New Roman" w:hAnsi="Times New Roman" w:cs="Times New Roman"/>
          <w:color w:val="auto"/>
          <w:lang w:bidi="ar-SA"/>
        </w:rPr>
        <w:t>из</w:t>
      </w:r>
      <w:proofErr w:type="gramEnd"/>
      <w:r w:rsidRPr="001E4355">
        <w:rPr>
          <w:rFonts w:ascii="Times New Roman" w:eastAsia="Times New Roman" w:hAnsi="Times New Roman" w:cs="Times New Roman"/>
          <w:color w:val="auto"/>
          <w:lang w:bidi="ar-SA"/>
        </w:rPr>
        <w:t>: 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номера - порядкового кода данного документа;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даты вступления в силу (при необходимости);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названия - краткого и четкого изложения того, что регламентирует документ;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даты и указания, кем утвержден документ. </w:t>
      </w:r>
    </w:p>
    <w:p w:rsidR="004D16C0" w:rsidRDefault="004D16C0" w:rsidP="00CC1D9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1D9D" w:rsidRDefault="001E4355" w:rsidP="00CC1D9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Организация разработки станд</w:t>
      </w:r>
      <w:r w:rsidR="00CC1D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артов и методических документов</w:t>
      </w:r>
    </w:p>
    <w:p w:rsidR="001E4355" w:rsidRDefault="001E4355" w:rsidP="00CC1D9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Контрольно-счетной палаты</w:t>
      </w:r>
    </w:p>
    <w:p w:rsidR="004D16C0" w:rsidRDefault="004D16C0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4.1. Разработка стандартов и методических документов Контрольно-счетной палаты осуществляется исходя из необходимости методического регулирования определенных форм и видов деятельности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4.2. Руководство организацией разработки стандартов и методических документов Контрольно-счетной палаты осуществляет председатель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4.3. Разработчиками стандартов и методических документов Контрольно-счетной палаты в зависимости от их назначения мо</w:t>
      </w:r>
      <w:r w:rsidR="00CC1D9D">
        <w:rPr>
          <w:rFonts w:ascii="Times New Roman" w:eastAsia="Times New Roman" w:hAnsi="Times New Roman" w:cs="Times New Roman"/>
          <w:color w:val="auto"/>
          <w:lang w:bidi="ar-SA"/>
        </w:rPr>
        <w:t>гут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C1D9D">
        <w:rPr>
          <w:rFonts w:ascii="Times New Roman" w:eastAsia="Times New Roman" w:hAnsi="Times New Roman" w:cs="Times New Roman"/>
          <w:color w:val="auto"/>
          <w:lang w:bidi="ar-SA"/>
        </w:rPr>
        <w:t>быть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C1D9D">
        <w:rPr>
          <w:rFonts w:ascii="Times New Roman" w:eastAsia="Times New Roman" w:hAnsi="Times New Roman" w:cs="Times New Roman"/>
          <w:color w:val="auto"/>
          <w:lang w:bidi="ar-SA"/>
        </w:rPr>
        <w:t>сотрудники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4.4. Разработка стандартов и методических документов, утверждаемых председателем  Контрольно-счетной палаты, осуществляется в следующей последовательности: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обоснование необходимости разработки стандарта или методического документа в установленном порядке;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разработка проекта документа;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представление согласованного п</w:t>
      </w:r>
      <w:r w:rsidR="00CC1D9D">
        <w:rPr>
          <w:rFonts w:ascii="Times New Roman" w:eastAsia="Times New Roman" w:hAnsi="Times New Roman" w:cs="Times New Roman"/>
          <w:color w:val="auto"/>
          <w:lang w:bidi="ar-SA"/>
        </w:rPr>
        <w:t>роекта документа на утверждение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4.5. Непосредственно разработка проекта стандарта или методического документа может включать в себя следующие процедуры: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сбор необходимой информации, ее изучение и обобщение;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подготовку исполнителем проекта документа;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доработку исполнителем проекта документа с учетом замечаний и предложений и подготовку при необходимости пояснительной записки к проекту документа.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В пояснительной записке к проекту документа должны содержаться следующие сведения: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характеристика предмета регламентации и концепция документа;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краткое обоснование и разъяснение основных положений проекта документа;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сведения о взаимосвязи документа с другими документами Контрольно-счетной палаты;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перечень основных документов и других источников информации, использованных при разработке проекта документа;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предложения в случае необходимости о внесении изменений в другие документы Контрольно-счетной палаты, противоречащие проекту разработанного документа, или признании этих документов </w:t>
      </w:r>
      <w:proofErr w:type="gramStart"/>
      <w:r w:rsidRPr="001E4355">
        <w:rPr>
          <w:rFonts w:ascii="Times New Roman" w:eastAsia="Times New Roman" w:hAnsi="Times New Roman" w:cs="Times New Roman"/>
          <w:color w:val="auto"/>
          <w:lang w:bidi="ar-SA"/>
        </w:rPr>
        <w:t>утратившими</w:t>
      </w:r>
      <w:proofErr w:type="gramEnd"/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силу;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иная необходимая информация.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4.6. По результатам рассмотрения проекта стандарта или методического документа председатель Контрольно-счетной палаты принимает решение об утверждении или отклонении документа, либо иное решение, связанное с необходимостью его доработки.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4.7. Стандарт и (или) методический документ Контрольно-счетной палаты вступает в силу </w:t>
      </w:r>
      <w:proofErr w:type="gramStart"/>
      <w:r w:rsidRPr="001E4355">
        <w:rPr>
          <w:rFonts w:ascii="Times New Roman" w:eastAsia="Times New Roman" w:hAnsi="Times New Roman" w:cs="Times New Roman"/>
          <w:color w:val="auto"/>
          <w:lang w:bidi="ar-SA"/>
        </w:rPr>
        <w:t>с даты</w:t>
      </w:r>
      <w:proofErr w:type="gramEnd"/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его подписания председателем Контрольно-счетной палаты, если в тексте документа или распоряжении председателя Контрольно-счетной палаты о его утверждении не предусмотрено иное.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4.8. Все утвержденные стандарты и методические документы Контрольно-счетной палаты передаются инспектору Контрольно-счетной палаты, осуществляющему делопроизводство в Контрольно-счетной палате. </w:t>
      </w:r>
    </w:p>
    <w:p w:rsidR="004D16C0" w:rsidRDefault="004D16C0" w:rsidP="00CC1D9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1D9D" w:rsidRDefault="001E4355" w:rsidP="00CC1D9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5. Внесение изменений в стандарты и методические документы</w:t>
      </w:r>
    </w:p>
    <w:p w:rsidR="001E4355" w:rsidRDefault="001E4355" w:rsidP="00CC1D9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E435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Контрольно-счетной палаты и признание их </w:t>
      </w:r>
      <w:proofErr w:type="gramStart"/>
      <w:r w:rsidRPr="001E435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утратившими</w:t>
      </w:r>
      <w:proofErr w:type="gramEnd"/>
      <w:r w:rsidRPr="001E435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силу</w:t>
      </w:r>
    </w:p>
    <w:p w:rsidR="004D16C0" w:rsidRPr="001E4355" w:rsidRDefault="004D16C0" w:rsidP="00CC1D9D">
      <w:pPr>
        <w:suppressAutoHyphens/>
        <w:jc w:val="center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5.1. Внесение изменений в стандарты и методические документы Контрольно-счетной палаты осуществляется в целях поддержания соответствия методологического обеспечения деятельности Контрольно-счетной палаты потребностям внешнего муниципального финансового контроля.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5.2. Внесение изменений в стандарт или методический документ Контрольно-счетной палаты осуществляется, если необходимо: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более точно регламентировать или детализировать процессы осуществления различных форм и видов деятельности Контрольно-счетной палаты;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привести документ в соответствие с вновь принятыми законодательными и иными нормативными правовыми актами Российской Федерации;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устранить дублирование или противоречия положений документа с новыми документами, утвержденными в Контрольно-счетной палате;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исключить ссылки на документы Контрольно-счетной палаты, которые признаны утратившими силу;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исправить опечатки, ошибки или иные неточности, обнаруженные в стандарте или методическом документе Контрольно-счетной палате после его утверждения;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в иных случаях.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5.4. Необходимость внесения изменений в стандарт или методический документ Контрольно-счетной палаты или признания его утратившим силу определяется по результатам проверок актуальности документа и мониторинга его применения, которые осуществляются должностными лицами Контрольно-счетной палаты, в компетенции которых находятся вопросы регламентируемые документом.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В ходе проверки актуальности стандарта или методического документа Контрольно-счетной палаты определяется его соответствие законодательным и иным нормативным правовым актам Российской Федерации и Московской области, городского округа Фрязино, а также документам Контрольно-счетной палаты, принятым после утверждения данного документа.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В ходе мониторинга применения стандарта или методического документа Контрольно-счетной палаты 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необходимость дополнительной регламентации сферы действия данного документа.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5.4. Проверка актуальности стандарта или методического документа Контрольно-счетной палаты проводится по мере необходимости, связанной с изменением законодательства Российской Федерации, Московской области, городского округа Фрязино и нормативных документов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Если в ходе проверки актуальности стандарта или методического документа Контрольно-счетной палаты установлена необходимость внесения изменений в данный документ, должностным лицом Контрольно-счетной палаты, установившим необходимость внесения корректив в данный документ, на имя председателя Контрольно-счетной палаты готовится аргументированное предложение о внесении таких изменений. При принятии соответствующего решения им готовится проект предлагаемых изменений в стандарт или методический документ Контрольно-счетной палаты. При необходимости одновременно с внесением изменений в стандарт или методический документ Контрольно-счетной палаты вносятся изменения во взаимосвязанные с ним документы или принимается решение о признании этих документов </w:t>
      </w:r>
      <w:proofErr w:type="gramStart"/>
      <w:r w:rsidRPr="001E4355">
        <w:rPr>
          <w:rFonts w:ascii="Times New Roman" w:eastAsia="Times New Roman" w:hAnsi="Times New Roman" w:cs="Times New Roman"/>
          <w:color w:val="auto"/>
          <w:lang w:bidi="ar-SA"/>
        </w:rPr>
        <w:t>утратившими</w:t>
      </w:r>
      <w:proofErr w:type="gramEnd"/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силу.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5.5. Стандарт или методический документ Контрольно-счетной палаты может быть признан утратившим силу в случаях, если: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 не соответствует вновь принятым законодательным и иным нормативным правовым актам Российской Федерации, Московской области, </w:t>
      </w:r>
      <w:r w:rsidR="00CC1D9D">
        <w:rPr>
          <w:rFonts w:ascii="Times New Roman" w:eastAsia="Times New Roman" w:hAnsi="Times New Roman" w:cs="Times New Roman"/>
          <w:color w:val="auto"/>
          <w:lang w:bidi="ar-SA"/>
        </w:rPr>
        <w:t>Сергиево-Посадского городского округа Московской области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взамен данного документа утвержден новый документ Контрольно-счетной палаты;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положения документа включены в другой утвержденный документ Контрольно-счетной палаты;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изменились отдельные формы или виды деятельности Контрольно-счетной палаты, регламентируемые данным документом;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истек срок действия документа;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в иных обоснованных случаях.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5.7. Стандарт или методический документ Контрольно-счетной палаты подлежит признанию </w:t>
      </w:r>
      <w:proofErr w:type="gramStart"/>
      <w:r w:rsidRPr="001E4355">
        <w:rPr>
          <w:rFonts w:ascii="Times New Roman" w:eastAsia="Times New Roman" w:hAnsi="Times New Roman" w:cs="Times New Roman"/>
          <w:color w:val="auto"/>
          <w:lang w:bidi="ar-SA"/>
        </w:rPr>
        <w:t>утратившим</w:t>
      </w:r>
      <w:proofErr w:type="gramEnd"/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 силу в случае, если объем вносимых в него изменений превышает 50 процентов его текста, а также в случае необходимости существенного изменения его структуры</w:t>
      </w:r>
      <w:r w:rsidR="004D16C0">
        <w:rPr>
          <w:rFonts w:ascii="Times New Roman" w:eastAsia="Times New Roman" w:hAnsi="Times New Roman" w:cs="Times New Roman"/>
          <w:color w:val="auto"/>
          <w:lang w:bidi="ar-SA"/>
        </w:rPr>
        <w:t>, в иных случаях</w:t>
      </w:r>
      <w:r w:rsidRPr="001E4355">
        <w:rPr>
          <w:rFonts w:ascii="Times New Roman" w:eastAsia="Times New Roman" w:hAnsi="Times New Roman" w:cs="Times New Roman"/>
          <w:color w:val="auto"/>
          <w:lang w:bidi="ar-SA"/>
        </w:rPr>
        <w:t>. Разработка нового стандарта или методического документа осуществляется в соответствии с процедурами, установленными в пункте 4.5. настоящего Стандарта.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>5.8. Решение о внесении изменений в стандарт или методический документ Контрольно-счетной палаты или признании его утратившим силу принимается председателем Контрольно-счетной палаты.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  <w:r w:rsidRPr="001E4355">
        <w:rPr>
          <w:rFonts w:ascii="Times New Roman" w:eastAsia="Times New Roman" w:hAnsi="Times New Roman" w:cs="Times New Roman"/>
          <w:color w:val="auto"/>
          <w:lang w:bidi="ar-SA"/>
        </w:rPr>
        <w:t xml:space="preserve">Изменения, внесенные в стандарт или методический документ Контрольно-счетной палаты, вступают в силу, или документ признается утратившим силу </w:t>
      </w:r>
      <w:proofErr w:type="gramStart"/>
      <w:r w:rsidRPr="001E4355">
        <w:rPr>
          <w:rFonts w:ascii="Times New Roman" w:eastAsia="Times New Roman" w:hAnsi="Times New Roman" w:cs="Times New Roman"/>
          <w:color w:val="auto"/>
          <w:lang w:bidi="ar-SA"/>
        </w:rPr>
        <w:t>с даты утверждения</w:t>
      </w:r>
      <w:proofErr w:type="gramEnd"/>
      <w:r w:rsidRPr="001E4355">
        <w:rPr>
          <w:rFonts w:ascii="Times New Roman" w:eastAsia="Times New Roman" w:hAnsi="Times New Roman" w:cs="Times New Roman"/>
          <w:color w:val="auto"/>
          <w:lang w:bidi="ar-SA"/>
        </w:rPr>
        <w:t>, если в распоряжении председателя Контрольно-счетной палаты не предусмотрено иное.</w:t>
      </w:r>
    </w:p>
    <w:p w:rsidR="001E4355" w:rsidRPr="001E4355" w:rsidRDefault="001E4355" w:rsidP="00CC1D9D">
      <w:pPr>
        <w:suppressAutoHyphens/>
        <w:ind w:firstLine="1134"/>
        <w:jc w:val="both"/>
        <w:rPr>
          <w:rFonts w:ascii="Times New Roman" w:eastAsia="Times New Roman" w:hAnsi="Times New Roman" w:cs="Times New Roman"/>
          <w:bCs/>
          <w:color w:val="auto"/>
          <w:w w:val="61"/>
          <w:lang w:bidi="ar-SA"/>
        </w:rPr>
      </w:pPr>
    </w:p>
    <w:p w:rsidR="00CD794E" w:rsidRDefault="00CD794E" w:rsidP="00CC1D9D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D794E" w:rsidRDefault="00CD794E">
      <w:pPr>
        <w:jc w:val="center"/>
        <w:rPr>
          <w:rFonts w:hint="eastAsia"/>
        </w:rPr>
      </w:pPr>
    </w:p>
    <w:sectPr w:rsidR="00CD794E" w:rsidSect="004D16C0">
      <w:footerReference w:type="default" r:id="rId9"/>
      <w:pgSz w:w="11906" w:h="16838"/>
      <w:pgMar w:top="1693" w:right="1121" w:bottom="1134" w:left="1545" w:header="1134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33" w:rsidRDefault="006A5033">
      <w:pPr>
        <w:rPr>
          <w:rFonts w:hint="eastAsia"/>
        </w:rPr>
      </w:pPr>
      <w:r>
        <w:separator/>
      </w:r>
    </w:p>
  </w:endnote>
  <w:endnote w:type="continuationSeparator" w:id="0">
    <w:p w:rsidR="006A5033" w:rsidRDefault="006A50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998736"/>
      <w:docPartObj>
        <w:docPartGallery w:val="Page Numbers (Bottom of Page)"/>
        <w:docPartUnique/>
      </w:docPartObj>
    </w:sdtPr>
    <w:sdtEndPr/>
    <w:sdtContent>
      <w:p w:rsidR="004D16C0" w:rsidRDefault="004D16C0">
        <w:pPr>
          <w:pStyle w:val="ad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1DC">
          <w:rPr>
            <w:rFonts w:hint="eastAsia"/>
            <w:noProof/>
          </w:rPr>
          <w:t>2</w:t>
        </w:r>
        <w:r>
          <w:fldChar w:fldCharType="end"/>
        </w:r>
      </w:p>
    </w:sdtContent>
  </w:sdt>
  <w:p w:rsidR="004D16C0" w:rsidRDefault="004D16C0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33" w:rsidRDefault="006A5033">
      <w:pPr>
        <w:rPr>
          <w:rFonts w:hint="eastAsia"/>
        </w:rPr>
      </w:pPr>
      <w:r>
        <w:separator/>
      </w:r>
    </w:p>
  </w:footnote>
  <w:footnote w:type="continuationSeparator" w:id="0">
    <w:p w:rsidR="006A5033" w:rsidRDefault="006A50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DF9"/>
    <w:multiLevelType w:val="hybridMultilevel"/>
    <w:tmpl w:val="A59C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4E"/>
    <w:rsid w:val="001E4355"/>
    <w:rsid w:val="00305E48"/>
    <w:rsid w:val="00496ECE"/>
    <w:rsid w:val="004D16C0"/>
    <w:rsid w:val="005421DC"/>
    <w:rsid w:val="005702A3"/>
    <w:rsid w:val="00661BC7"/>
    <w:rsid w:val="006A5033"/>
    <w:rsid w:val="00990280"/>
    <w:rsid w:val="009E55E8"/>
    <w:rsid w:val="00CC1D9D"/>
    <w:rsid w:val="00CD794E"/>
    <w:rsid w:val="00D84423"/>
    <w:rsid w:val="00E62D85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header"/>
    <w:basedOn w:val="a"/>
    <w:pPr>
      <w:suppressLineNumbers/>
      <w:tabs>
        <w:tab w:val="center" w:pos="4620"/>
        <w:tab w:val="right" w:pos="9240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D8442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84423"/>
    <w:rPr>
      <w:rFonts w:ascii="Tahoma" w:hAnsi="Tahoma" w:cs="Mangal"/>
      <w:color w:val="00000A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F869B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F869BD"/>
    <w:rPr>
      <w:rFonts w:cs="Mangal"/>
      <w:color w:val="00000A"/>
      <w:sz w:val="24"/>
      <w:szCs w:val="21"/>
    </w:rPr>
  </w:style>
  <w:style w:type="paragraph" w:styleId="af">
    <w:name w:val="List Paragraph"/>
    <w:basedOn w:val="a"/>
    <w:uiPriority w:val="34"/>
    <w:qFormat/>
    <w:rsid w:val="004D16C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header"/>
    <w:basedOn w:val="a"/>
    <w:pPr>
      <w:suppressLineNumbers/>
      <w:tabs>
        <w:tab w:val="center" w:pos="4620"/>
        <w:tab w:val="right" w:pos="9240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D8442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84423"/>
    <w:rPr>
      <w:rFonts w:ascii="Tahoma" w:hAnsi="Tahoma" w:cs="Mangal"/>
      <w:color w:val="00000A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F869B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F869BD"/>
    <w:rPr>
      <w:rFonts w:cs="Mangal"/>
      <w:color w:val="00000A"/>
      <w:sz w:val="24"/>
      <w:szCs w:val="21"/>
    </w:rPr>
  </w:style>
  <w:style w:type="paragraph" w:styleId="af">
    <w:name w:val="List Paragraph"/>
    <w:basedOn w:val="a"/>
    <w:uiPriority w:val="34"/>
    <w:qFormat/>
    <w:rsid w:val="004D16C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2019-11-07T12:42:00Z</cp:lastPrinted>
  <dcterms:created xsi:type="dcterms:W3CDTF">2019-11-07T14:09:00Z</dcterms:created>
  <dcterms:modified xsi:type="dcterms:W3CDTF">2019-11-07T14:41:00Z</dcterms:modified>
  <dc:language>ru-RU</dc:language>
</cp:coreProperties>
</file>