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23" w:rsidRPr="00B61CE0" w:rsidRDefault="00D84423" w:rsidP="00D84423">
      <w:pPr>
        <w:widowControl w:val="0"/>
        <w:autoSpaceDE w:val="0"/>
        <w:autoSpaceDN w:val="0"/>
        <w:jc w:val="center"/>
        <w:rPr>
          <w:rFonts w:hint="eastAsia"/>
          <w:b/>
          <w:sz w:val="40"/>
          <w:szCs w:val="40"/>
          <w:lang w:eastAsia="ru-RU" w:bidi="ru-RU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628015" cy="842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423" w:rsidRPr="00B61CE0" w:rsidRDefault="00D84423" w:rsidP="00D84423">
      <w:pPr>
        <w:widowControl w:val="0"/>
        <w:autoSpaceDE w:val="0"/>
        <w:autoSpaceDN w:val="0"/>
        <w:jc w:val="center"/>
        <w:rPr>
          <w:rFonts w:hint="eastAsia"/>
          <w:b/>
          <w:sz w:val="40"/>
          <w:szCs w:val="40"/>
          <w:lang w:eastAsia="ru-RU" w:bidi="ru-RU"/>
        </w:rPr>
      </w:pPr>
      <w:r w:rsidRPr="00B61CE0">
        <w:rPr>
          <w:b/>
          <w:sz w:val="40"/>
          <w:szCs w:val="40"/>
          <w:lang w:eastAsia="ru-RU" w:bidi="ru-RU"/>
        </w:rPr>
        <w:t>Контрольно-счетная палата</w:t>
      </w:r>
    </w:p>
    <w:p w:rsidR="00D84423" w:rsidRPr="00B61CE0" w:rsidRDefault="00D84423" w:rsidP="00D84423">
      <w:pPr>
        <w:widowControl w:val="0"/>
        <w:autoSpaceDE w:val="0"/>
        <w:autoSpaceDN w:val="0"/>
        <w:jc w:val="center"/>
        <w:rPr>
          <w:rFonts w:hint="eastAsia"/>
          <w:b/>
          <w:sz w:val="40"/>
          <w:szCs w:val="40"/>
          <w:lang w:eastAsia="ru-RU" w:bidi="ru-RU"/>
        </w:rPr>
      </w:pPr>
      <w:r w:rsidRPr="00B61CE0">
        <w:rPr>
          <w:b/>
          <w:sz w:val="40"/>
          <w:szCs w:val="40"/>
          <w:lang w:eastAsia="ru-RU" w:bidi="ru-RU"/>
        </w:rPr>
        <w:t>Сергиево-Посадского городского округа</w:t>
      </w:r>
    </w:p>
    <w:p w:rsidR="00CD794E" w:rsidRDefault="00D84423" w:rsidP="00D84423">
      <w:pPr>
        <w:jc w:val="center"/>
        <w:rPr>
          <w:rFonts w:hint="eastAsia"/>
        </w:rPr>
      </w:pPr>
      <w:r>
        <w:rPr>
          <w:b/>
          <w:sz w:val="40"/>
          <w:szCs w:val="40"/>
          <w:lang w:eastAsia="ru-RU" w:bidi="ru-RU"/>
        </w:rPr>
        <w:t>Московской области</w:t>
      </w:r>
    </w:p>
    <w:p w:rsidR="00D84423" w:rsidRDefault="00D84423" w:rsidP="00661B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423" w:rsidRDefault="00D84423" w:rsidP="00661B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423" w:rsidRDefault="00D84423" w:rsidP="00661B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423" w:rsidRDefault="00D84423" w:rsidP="00661B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794E" w:rsidRDefault="00496ECE" w:rsidP="00661BC7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Стандарт внешнего муниципального финансового контроля</w:t>
      </w:r>
    </w:p>
    <w:p w:rsidR="00661BC7" w:rsidRDefault="00661BC7" w:rsidP="00661B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423" w:rsidRDefault="00D84423" w:rsidP="00661B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794E" w:rsidRDefault="00496ECE" w:rsidP="00661BC7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«Оценка эффективности предоставления налоговых</w:t>
      </w:r>
    </w:p>
    <w:p w:rsidR="00CD794E" w:rsidRDefault="00496ECE" w:rsidP="00661BC7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и иных льгот и преимуществ за счет средств местного бюджета</w:t>
      </w:r>
    </w:p>
    <w:p w:rsidR="00CD794E" w:rsidRDefault="00661BC7" w:rsidP="00661B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Сергиево-Посадского городского округа Московской области</w:t>
      </w:r>
      <w:r w:rsidR="00FF6819">
        <w:rPr>
          <w:rFonts w:ascii="Times New Roman" w:hAnsi="Times New Roman"/>
          <w:b/>
          <w:bCs/>
          <w:sz w:val="28"/>
          <w:szCs w:val="28"/>
        </w:rPr>
        <w:t>»</w:t>
      </w: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hint="eastAsia"/>
          <w:b/>
          <w:bCs/>
        </w:rPr>
      </w:pPr>
    </w:p>
    <w:p w:rsidR="00661BC7" w:rsidRDefault="00661BC7" w:rsidP="00661BC7">
      <w:pPr>
        <w:ind w:left="567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661BC7" w:rsidRDefault="00661BC7" w:rsidP="00661BC7">
      <w:pPr>
        <w:ind w:left="567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распоряжением председателя</w:t>
      </w:r>
    </w:p>
    <w:p w:rsidR="00661BC7" w:rsidRDefault="00661BC7" w:rsidP="00661BC7">
      <w:pPr>
        <w:ind w:left="567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Контрольно-счетной палаты</w:t>
      </w:r>
    </w:p>
    <w:p w:rsidR="00661BC7" w:rsidRDefault="00661BC7" w:rsidP="00661BC7">
      <w:pPr>
        <w:ind w:left="567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от 29.10.2019 № 72/19-РП </w:t>
      </w: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794E" w:rsidRDefault="00CD794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794E" w:rsidRDefault="00CD794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794E" w:rsidRDefault="00CD794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794E" w:rsidRDefault="00CD794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794E" w:rsidRDefault="00CD794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1BC7" w:rsidRDefault="00661BC7" w:rsidP="00661BC7">
      <w:pPr>
        <w:jc w:val="center"/>
        <w:rPr>
          <w:rFonts w:ascii="Times New Roman" w:hAnsi="Times New Roman"/>
          <w:sz w:val="28"/>
          <w:szCs w:val="28"/>
        </w:rPr>
      </w:pPr>
    </w:p>
    <w:p w:rsidR="00661BC7" w:rsidRDefault="00661BC7" w:rsidP="00661BC7">
      <w:pPr>
        <w:jc w:val="center"/>
        <w:rPr>
          <w:rFonts w:ascii="Times New Roman" w:hAnsi="Times New Roman"/>
          <w:sz w:val="28"/>
          <w:szCs w:val="28"/>
        </w:rPr>
      </w:pPr>
    </w:p>
    <w:p w:rsidR="005D1F07" w:rsidRDefault="005D1F07" w:rsidP="00661BC7">
      <w:pPr>
        <w:jc w:val="center"/>
        <w:rPr>
          <w:rFonts w:ascii="Times New Roman" w:hAnsi="Times New Roman"/>
          <w:sz w:val="28"/>
          <w:szCs w:val="28"/>
        </w:rPr>
      </w:pPr>
    </w:p>
    <w:p w:rsidR="00CD794E" w:rsidRDefault="00661BC7" w:rsidP="00661B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Сергиев Посад</w:t>
      </w:r>
    </w:p>
    <w:p w:rsidR="00CD794E" w:rsidRDefault="00496ECE" w:rsidP="00661B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CD794E" w:rsidRDefault="00CD794E">
      <w:pPr>
        <w:jc w:val="both"/>
        <w:rPr>
          <w:rFonts w:hint="eastAsia"/>
        </w:rPr>
      </w:pPr>
    </w:p>
    <w:p w:rsidR="005D1F07" w:rsidRDefault="005D1F07" w:rsidP="005D1F07">
      <w:pPr>
        <w:spacing w:line="360" w:lineRule="auto"/>
        <w:ind w:left="-567" w:firstLine="567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СОДЕРЖАНИЕ</w:t>
      </w:r>
    </w:p>
    <w:p w:rsidR="005D1F07" w:rsidRDefault="005D1F07" w:rsidP="005D1F07">
      <w:pPr>
        <w:spacing w:line="360" w:lineRule="auto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D1F07" w:rsidRDefault="005D1F07" w:rsidP="005D1F07">
      <w:pPr>
        <w:tabs>
          <w:tab w:val="right" w:leader="dot" w:pos="9639"/>
        </w:tabs>
        <w:spacing w:line="360" w:lineRule="auto"/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Общие положения.</w:t>
      </w:r>
    </w:p>
    <w:p w:rsidR="005D1F07" w:rsidRDefault="005D1F07" w:rsidP="005D1F07">
      <w:pPr>
        <w:tabs>
          <w:tab w:val="right" w:leader="dot" w:pos="9225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Требования к порядку организации проведения </w:t>
      </w:r>
      <w:r>
        <w:rPr>
          <w:rFonts w:eastAsia="Calibri"/>
          <w:bCs/>
          <w:sz w:val="28"/>
          <w:szCs w:val="28"/>
          <w:lang w:eastAsia="en-US"/>
        </w:rPr>
        <w:t>оценки эффективности предоставления налоговых и иных льгот и преимуществ.</w:t>
      </w:r>
    </w:p>
    <w:p w:rsidR="005D1F07" w:rsidRDefault="005D1F07" w:rsidP="005D1F07">
      <w:pPr>
        <w:tabs>
          <w:tab w:val="right" w:leader="dot" w:pos="9639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bCs/>
          <w:sz w:val="28"/>
          <w:szCs w:val="28"/>
          <w:lang w:eastAsia="en-US"/>
        </w:rPr>
        <w:t>Требования к проведению оценки эффективности предоставления налоговых и иных льгот и преимуществ</w:t>
      </w:r>
      <w:r>
        <w:rPr>
          <w:rFonts w:eastAsia="Calibri"/>
          <w:sz w:val="28"/>
          <w:szCs w:val="28"/>
          <w:lang w:eastAsia="en-US"/>
        </w:rPr>
        <w:t>.</w:t>
      </w:r>
    </w:p>
    <w:p w:rsidR="005D1F07" w:rsidRDefault="005D1F07" w:rsidP="005D1F07">
      <w:pPr>
        <w:tabs>
          <w:tab w:val="right" w:leader="dot" w:pos="9639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Требования к порядку организации и проведению оценки эффективности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</w:r>
    </w:p>
    <w:p w:rsidR="005D1F07" w:rsidRDefault="005D1F07" w:rsidP="005D1F07">
      <w:pPr>
        <w:tabs>
          <w:tab w:val="right" w:leader="dot" w:pos="9225"/>
        </w:tabs>
        <w:spacing w:line="360" w:lineRule="auto"/>
        <w:ind w:right="-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>
        <w:rPr>
          <w:rFonts w:eastAsia="Calibri"/>
          <w:bCs/>
          <w:sz w:val="28"/>
          <w:szCs w:val="28"/>
          <w:lang w:eastAsia="en-US"/>
        </w:rPr>
        <w:t>Порядок оформления результатов проведения контрольного мероприятия</w:t>
      </w:r>
      <w:r>
        <w:rPr>
          <w:rFonts w:eastAsia="Calibri"/>
          <w:sz w:val="28"/>
          <w:szCs w:val="28"/>
          <w:lang w:eastAsia="en-US"/>
        </w:rPr>
        <w:t>…...</w:t>
      </w:r>
    </w:p>
    <w:p w:rsidR="005D1F07" w:rsidRDefault="005D1F07" w:rsidP="005D1F07">
      <w:pPr>
        <w:spacing w:line="360" w:lineRule="auto"/>
        <w:rPr>
          <w:rFonts w:eastAsia="Calibri"/>
          <w:sz w:val="28"/>
          <w:szCs w:val="28"/>
          <w:lang w:eastAsia="en-US"/>
        </w:rPr>
        <w:sectPr w:rsidR="005D1F07">
          <w:endnotePr>
            <w:numFmt w:val="decimal"/>
          </w:endnotePr>
          <w:pgSz w:w="11906" w:h="16838"/>
          <w:pgMar w:top="1134" w:right="851" w:bottom="1134" w:left="1418" w:header="709" w:footer="709" w:gutter="0"/>
          <w:pgNumType w:start="1"/>
          <w:cols w:space="720"/>
        </w:sectPr>
      </w:pPr>
    </w:p>
    <w:p w:rsidR="005D1F07" w:rsidRDefault="005D1F07" w:rsidP="005D1F07">
      <w:pPr>
        <w:keepNext/>
        <w:numPr>
          <w:ilvl w:val="0"/>
          <w:numId w:val="2"/>
        </w:numPr>
        <w:tabs>
          <w:tab w:val="left" w:pos="284"/>
        </w:tabs>
        <w:spacing w:after="200" w:line="360" w:lineRule="auto"/>
        <w:ind w:left="0" w:right="284" w:firstLine="0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eastAsia="en-US"/>
        </w:rPr>
      </w:pPr>
      <w:bookmarkStart w:id="1" w:name="_Toc255648"/>
      <w:bookmarkStart w:id="2" w:name="_Toc404919041"/>
      <w:r>
        <w:rPr>
          <w:b/>
          <w:bCs/>
          <w:kern w:val="32"/>
          <w:sz w:val="28"/>
          <w:szCs w:val="28"/>
          <w:lang w:eastAsia="en-US"/>
        </w:rPr>
        <w:lastRenderedPageBreak/>
        <w:t>Общие положения</w:t>
      </w:r>
      <w:bookmarkEnd w:id="1"/>
    </w:p>
    <w:bookmarkEnd w:id="2"/>
    <w:p w:rsidR="005D1F07" w:rsidRDefault="005D1F07" w:rsidP="005D1F07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Стандарт внешнего муниципального финансового контроля «О</w:t>
      </w:r>
      <w:r>
        <w:rPr>
          <w:sz w:val="28"/>
          <w:szCs w:val="28"/>
          <w:lang w:eastAsia="ru-RU"/>
        </w:rPr>
        <w:t>ценка эффективности предоставления налоговых и иных льгот и преимуществ,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</w:r>
      <w:r>
        <w:rPr>
          <w:rFonts w:eastAsia="Calibri"/>
          <w:sz w:val="28"/>
          <w:szCs w:val="28"/>
          <w:lang w:eastAsia="en-US"/>
        </w:rPr>
        <w:t>» (</w:t>
      </w:r>
      <w:r>
        <w:rPr>
          <w:rFonts w:eastAsia="Calibri"/>
          <w:i/>
          <w:sz w:val="28"/>
          <w:szCs w:val="28"/>
          <w:lang w:eastAsia="en-US"/>
        </w:rPr>
        <w:t xml:space="preserve">далее </w:t>
      </w:r>
      <w:r>
        <w:rPr>
          <w:rFonts w:eastAsia="Calibri"/>
          <w:i/>
          <w:sz w:val="28"/>
          <w:szCs w:val="28"/>
          <w:lang w:eastAsia="en-US"/>
        </w:rPr>
        <w:noBreakHyphen/>
        <w:t xml:space="preserve"> Стандарт</w:t>
      </w:r>
      <w:r>
        <w:rPr>
          <w:rFonts w:eastAsia="Calibri"/>
          <w:sz w:val="28"/>
          <w:szCs w:val="28"/>
          <w:lang w:eastAsia="en-US"/>
        </w:rPr>
        <w:t xml:space="preserve">) разработан в соответствии с требованиями Федерального закона от 07.02.2011 № 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о Контрольно-счетной палате </w:t>
      </w:r>
      <w:r w:rsidRPr="005D1F07">
        <w:rPr>
          <w:rFonts w:ascii="Times New Roman" w:hAnsi="Times New Roman" w:cs="Times New Roman"/>
          <w:color w:val="1D2124"/>
          <w:sz w:val="28"/>
          <w:szCs w:val="28"/>
        </w:rPr>
        <w:t>Сергиево-Посадского городского округа Московской области</w:t>
      </w:r>
      <w:r>
        <w:rPr>
          <w:rFonts w:eastAsia="Calibri"/>
          <w:sz w:val="28"/>
          <w:szCs w:val="28"/>
          <w:lang w:eastAsia="en-US"/>
        </w:rPr>
        <w:t xml:space="preserve">, утвержденным решением Совета депутатов </w:t>
      </w:r>
      <w:r w:rsidRPr="005D1F07">
        <w:rPr>
          <w:rFonts w:ascii="Times New Roman" w:hAnsi="Times New Roman" w:cs="Times New Roman"/>
          <w:color w:val="1D2124"/>
          <w:sz w:val="28"/>
          <w:szCs w:val="28"/>
        </w:rPr>
        <w:t>Сергиево-Посадского городского округа Московской области</w:t>
      </w:r>
      <w:r>
        <w:rPr>
          <w:rFonts w:eastAsia="Calibri"/>
          <w:sz w:val="28"/>
          <w:szCs w:val="28"/>
          <w:lang w:eastAsia="en-US"/>
        </w:rPr>
        <w:t xml:space="preserve"> от 03.10.2019 №03/05-МЗ.</w:t>
      </w:r>
    </w:p>
    <w:p w:rsidR="005D1F07" w:rsidRDefault="005D1F07" w:rsidP="005D1F07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При подготовке Стандарта учтены положения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утверждённых Коллегией Счётной палаты Российской Федерации (протокол от 17.10.2014 № 47К (993)), а также </w:t>
      </w:r>
      <w:r>
        <w:rPr>
          <w:sz w:val="28"/>
          <w:szCs w:val="28"/>
          <w:lang w:eastAsia="ru-RU"/>
        </w:rPr>
        <w:t xml:space="preserve">стандартов внешнего муниципального финансового контроля </w:t>
      </w:r>
      <w:r>
        <w:rPr>
          <w:rFonts w:eastAsia="Calibri"/>
          <w:sz w:val="28"/>
          <w:szCs w:val="28"/>
          <w:lang w:eastAsia="en-US"/>
        </w:rPr>
        <w:t>контрольно-счетного органа</w:t>
      </w:r>
      <w:r>
        <w:rPr>
          <w:sz w:val="28"/>
          <w:szCs w:val="28"/>
          <w:lang w:eastAsia="ru-RU"/>
        </w:rPr>
        <w:t xml:space="preserve">. </w:t>
      </w:r>
    </w:p>
    <w:p w:rsidR="005D1F07" w:rsidRDefault="005D1F07" w:rsidP="005D1F07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Стандарт является специализированным стандартом и предназначен для методологического обеспечения реализации полномочий Контрольно-счетной палаты </w:t>
      </w:r>
      <w:r w:rsidRPr="005D1F07">
        <w:rPr>
          <w:rFonts w:ascii="Times New Roman" w:hAnsi="Times New Roman" w:cs="Times New Roman"/>
          <w:color w:val="1D2124"/>
          <w:sz w:val="28"/>
          <w:szCs w:val="28"/>
        </w:rPr>
        <w:t>Сергиево-Посадского городского округа Московской области</w:t>
      </w:r>
      <w:r>
        <w:rPr>
          <w:rFonts w:eastAsia="Calibri"/>
          <w:sz w:val="28"/>
          <w:szCs w:val="28"/>
          <w:lang w:eastAsia="en-US"/>
        </w:rPr>
        <w:t xml:space="preserve"> (д</w:t>
      </w:r>
      <w:r>
        <w:rPr>
          <w:rFonts w:eastAsia="Calibri"/>
          <w:i/>
          <w:sz w:val="28"/>
          <w:szCs w:val="28"/>
          <w:lang w:eastAsia="en-US"/>
        </w:rPr>
        <w:t>алее – КСП</w:t>
      </w:r>
      <w:r>
        <w:rPr>
          <w:rFonts w:eastAsia="Calibri"/>
          <w:sz w:val="28"/>
          <w:szCs w:val="28"/>
          <w:lang w:eastAsia="en-US"/>
        </w:rPr>
        <w:t>) по осуществлению о</w:t>
      </w:r>
      <w:r>
        <w:rPr>
          <w:sz w:val="28"/>
          <w:szCs w:val="28"/>
          <w:lang w:eastAsia="ru-RU"/>
        </w:rPr>
        <w:t xml:space="preserve">ценки </w:t>
      </w:r>
      <w:r>
        <w:rPr>
          <w:sz w:val="28"/>
          <w:szCs w:val="28"/>
          <w:lang w:eastAsia="ru-RU"/>
        </w:rPr>
        <w:lastRenderedPageBreak/>
        <w:t xml:space="preserve">эффективности предоставления налоговых и иных льгот и преимуществ, оценки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Pr="005D1F07">
        <w:rPr>
          <w:rFonts w:ascii="Times New Roman" w:hAnsi="Times New Roman" w:cs="Times New Roman"/>
          <w:color w:val="1D2124"/>
          <w:sz w:val="28"/>
          <w:szCs w:val="28"/>
        </w:rPr>
        <w:t>Сергиево-Посадского городского округа Московской области</w:t>
      </w:r>
      <w:r>
        <w:rPr>
          <w:sz w:val="28"/>
          <w:szCs w:val="28"/>
          <w:lang w:eastAsia="ru-RU"/>
        </w:rPr>
        <w:t xml:space="preserve"> (</w:t>
      </w:r>
      <w:r>
        <w:rPr>
          <w:i/>
          <w:sz w:val="28"/>
          <w:szCs w:val="28"/>
          <w:lang w:eastAsia="ru-RU"/>
        </w:rPr>
        <w:t>далее – местного бюджета</w:t>
      </w:r>
      <w:r>
        <w:rPr>
          <w:sz w:val="28"/>
          <w:szCs w:val="28"/>
          <w:lang w:eastAsia="ru-RU"/>
        </w:rPr>
        <w:t xml:space="preserve">) и имущества, находящегося в собственности </w:t>
      </w:r>
      <w:r w:rsidRPr="005D1F07">
        <w:rPr>
          <w:rFonts w:ascii="Times New Roman" w:hAnsi="Times New Roman" w:cs="Times New Roman"/>
          <w:color w:val="1D2124"/>
          <w:sz w:val="28"/>
          <w:szCs w:val="28"/>
        </w:rPr>
        <w:t>Сергиево-Посадского городского округа Московской области</w:t>
      </w:r>
      <w:r>
        <w:rPr>
          <w:sz w:val="28"/>
          <w:szCs w:val="28"/>
          <w:lang w:eastAsia="ru-RU"/>
        </w:rPr>
        <w:t xml:space="preserve"> (далее – муниципальной собственности).</w:t>
      </w:r>
    </w:p>
    <w:p w:rsidR="005D1F07" w:rsidRDefault="005D1F07" w:rsidP="005D1F07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Целью Стандарта является определение общих правил и процедур оценки </w:t>
      </w:r>
      <w:r>
        <w:rPr>
          <w:sz w:val="28"/>
          <w:szCs w:val="28"/>
          <w:lang w:eastAsia="ru-RU"/>
        </w:rPr>
        <w:t>эффективности предоставления налоговых и иных льгот и преимуществ, оценки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</w:r>
    </w:p>
    <w:p w:rsidR="005D1F07" w:rsidRDefault="005D1F07" w:rsidP="005D1F07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Задачами Стандарта являются:</w:t>
      </w:r>
    </w:p>
    <w:p w:rsidR="005D1F07" w:rsidRDefault="005D1F07" w:rsidP="005D1F0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определение методики оценки эффективности предоставляемых налоговых и иных льгот и преимуществ;</w:t>
      </w:r>
    </w:p>
    <w:p w:rsidR="005D1F07" w:rsidRDefault="005D1F07" w:rsidP="005D1F0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установление последовательности действий по оценке эффективности предоставления налоговых и иных льгот и преимуществ;</w:t>
      </w:r>
    </w:p>
    <w:p w:rsidR="005D1F07" w:rsidRDefault="005D1F07" w:rsidP="005D1F0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установление требований к предоставлению результатов оценки эффективности предоставления налоговых и иных льгот и преимуществ;</w:t>
      </w:r>
    </w:p>
    <w:p w:rsidR="005D1F07" w:rsidRDefault="005D1F07" w:rsidP="005D1F0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</w:r>
      <w:r>
        <w:rPr>
          <w:rFonts w:eastAsia="Calibri"/>
          <w:snapToGrid w:val="0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5D1F07" w:rsidRDefault="005D1F07" w:rsidP="005D1F07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проведении о</w:t>
      </w:r>
      <w:r>
        <w:rPr>
          <w:sz w:val="28"/>
          <w:szCs w:val="28"/>
          <w:lang w:eastAsia="ru-RU"/>
        </w:rPr>
        <w:t xml:space="preserve">ценки эффективности предоставления налоговых и иных льгот и преимуществ, оценки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муниципальной собственности </w:t>
      </w:r>
      <w:r>
        <w:rPr>
          <w:rFonts w:eastAsia="Calibri"/>
          <w:sz w:val="28"/>
          <w:szCs w:val="28"/>
          <w:lang w:eastAsia="en-US"/>
        </w:rPr>
        <w:t xml:space="preserve">сотрудники КСП обязаны руководствоваться Конституцией Российской Федерации, </w:t>
      </w:r>
      <w:r>
        <w:rPr>
          <w:bCs/>
          <w:kern w:val="32"/>
          <w:sz w:val="28"/>
          <w:szCs w:val="28"/>
          <w:lang w:eastAsia="en-US"/>
        </w:rPr>
        <w:t>Федеральным законом от 07.02.2011 № 6-ФЗ «Об общих принципах организации и деятельности контрольно-счётных органов субъектов Российской Федерации и муниципальных образований»,</w:t>
      </w:r>
      <w:r>
        <w:rPr>
          <w:rFonts w:eastAsia="Calibri"/>
          <w:sz w:val="28"/>
          <w:szCs w:val="28"/>
          <w:lang w:eastAsia="en-US"/>
        </w:rPr>
        <w:t xml:space="preserve"> бюджетным законодательством Российской Федерации, законодательством Российской Федерации о налогах и сборах, Положением о Контрольно-счетной палате </w:t>
      </w:r>
      <w:r w:rsidRPr="005D1F07">
        <w:rPr>
          <w:rFonts w:ascii="Times New Roman" w:hAnsi="Times New Roman" w:cs="Times New Roman"/>
          <w:color w:val="1D2124"/>
          <w:sz w:val="28"/>
          <w:szCs w:val="28"/>
        </w:rPr>
        <w:t>Сергиево-Посадского городского округа Московской области</w:t>
      </w:r>
      <w:r>
        <w:rPr>
          <w:rFonts w:eastAsia="Calibri"/>
          <w:sz w:val="28"/>
          <w:szCs w:val="28"/>
          <w:lang w:eastAsia="en-US"/>
        </w:rPr>
        <w:t xml:space="preserve">, утвержденным решением Совета депутатов </w:t>
      </w:r>
      <w:r w:rsidRPr="005D1F07">
        <w:rPr>
          <w:rFonts w:ascii="Times New Roman" w:hAnsi="Times New Roman" w:cs="Times New Roman"/>
          <w:color w:val="1D2124"/>
          <w:sz w:val="28"/>
          <w:szCs w:val="28"/>
        </w:rPr>
        <w:t>Сергиево-Посадского городского округа Московской области</w:t>
      </w:r>
      <w:r>
        <w:rPr>
          <w:rFonts w:eastAsia="Calibri"/>
          <w:sz w:val="28"/>
          <w:szCs w:val="28"/>
          <w:lang w:eastAsia="en-US"/>
        </w:rPr>
        <w:t xml:space="preserve"> от 03.10.2019 №03/05, иными нормативными правовыми актами Российской Федерации, настоящим Стандартом и иными стандартами КСП.</w:t>
      </w:r>
    </w:p>
    <w:p w:rsidR="005D1F07" w:rsidRDefault="005D1F07" w:rsidP="005D1F07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вопросам, порядок решения которых не урегулирован настоящим Стандартом, решение принимается Председателем КСП и оформляется правовым актом КСП.</w:t>
      </w:r>
    </w:p>
    <w:p w:rsidR="005D1F07" w:rsidRDefault="005D1F07" w:rsidP="005D1F07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Внесение изменений в настоящий Стандарт осуществляется постановлением КСП.</w:t>
      </w:r>
    </w:p>
    <w:p w:rsidR="005D1F07" w:rsidRDefault="005D1F07" w:rsidP="005D1F07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Понятия, используемые в настоящем Стандарте:</w:t>
      </w:r>
    </w:p>
    <w:p w:rsidR="005D1F07" w:rsidRDefault="005D1F07" w:rsidP="005D1F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  <w:r>
        <w:rPr>
          <w:rFonts w:eastAsia="Calibri"/>
          <w:i/>
          <w:sz w:val="28"/>
          <w:szCs w:val="28"/>
          <w:bdr w:val="none" w:sz="0" w:space="0" w:color="auto" w:frame="1"/>
          <w:lang w:eastAsia="en-US"/>
        </w:rPr>
        <w:t>налоговая льгота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5D1F07" w:rsidRDefault="005D1F07" w:rsidP="005D1F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  <w:r>
        <w:rPr>
          <w:rFonts w:eastAsia="Calibri"/>
          <w:i/>
          <w:sz w:val="28"/>
          <w:szCs w:val="28"/>
          <w:bdr w:val="none" w:sz="0" w:space="0" w:color="auto" w:frame="1"/>
          <w:lang w:eastAsia="en-US"/>
        </w:rPr>
        <w:t>оценка эффективности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- процедура сопоставления результатов предоставления налоговых и иных льгот и преимуществ отдельным категориям налогоплательщиков с учетом показателей бюджетной и социальной эффективности в разрезе отраслей (видов деятельности);</w:t>
      </w:r>
    </w:p>
    <w:p w:rsidR="005D1F07" w:rsidRDefault="005D1F07" w:rsidP="005D1F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  <w:r>
        <w:rPr>
          <w:rFonts w:eastAsia="Calibri"/>
          <w:i/>
          <w:sz w:val="28"/>
          <w:szCs w:val="28"/>
          <w:bdr w:val="none" w:sz="0" w:space="0" w:color="auto" w:frame="1"/>
          <w:lang w:eastAsia="en-US"/>
        </w:rPr>
        <w:t>бюджетная эффективность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- оценка результата хозяйственной деятельности категорий хозяйствующих субъектов или физических лиц, которым предоставлены налоговые и иные льготы и преимущества с точки зрения влияния на доходы и расходы бюджета;</w:t>
      </w:r>
    </w:p>
    <w:p w:rsidR="005D1F07" w:rsidRDefault="005D1F07" w:rsidP="005D1F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  <w:r>
        <w:rPr>
          <w:rFonts w:eastAsia="Calibri"/>
          <w:i/>
          <w:sz w:val="28"/>
          <w:szCs w:val="28"/>
          <w:bdr w:val="none" w:sz="0" w:space="0" w:color="auto" w:frame="1"/>
          <w:lang w:eastAsia="en-US"/>
        </w:rPr>
        <w:t>социальная эффективность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- социальные последствия предоставления налоговых и иных льгот и преимуществ, которые выражаются в изменении уровня и качества товаров, работ, услуг для населения в результате осуществления деятельности организаций - получателей льгот либо как показатель социальной значимости дополнительного дохода, получаемого в форме налоговой или иной льготы, преимущества в бюджете представителя соответствующего типа категории получателей;</w:t>
      </w:r>
    </w:p>
    <w:p w:rsidR="005D1F07" w:rsidRDefault="005D1F07" w:rsidP="005D1F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экономическая эффективность</w:t>
      </w:r>
      <w:r>
        <w:rPr>
          <w:rFonts w:eastAsia="Calibri"/>
          <w:sz w:val="28"/>
          <w:szCs w:val="28"/>
          <w:lang w:eastAsia="en-US"/>
        </w:rPr>
        <w:t xml:space="preserve"> -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это результат, который можно получить, соизмерив показатели доходности производства по отношению к общим затратам и использованным ресурсам;</w:t>
      </w:r>
    </w:p>
    <w:p w:rsidR="005D1F07" w:rsidRDefault="005D1F07" w:rsidP="005D1F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муниципальная гарантия</w:t>
      </w:r>
      <w:r>
        <w:rPr>
          <w:rFonts w:eastAsia="Calibri"/>
          <w:sz w:val="28"/>
          <w:szCs w:val="28"/>
          <w:lang w:eastAsia="en-US"/>
        </w:rPr>
        <w:t xml:space="preserve"> - вид долгового обязательства, в силу которого соответственно муниципальное образование (гарант) обязаны при наступлении предусмотренного в гарантии события (гарантийного случая) уплатить лицу, в пользу которого предоставлена гарантия (бенефициару), по </w:t>
      </w:r>
      <w:r>
        <w:rPr>
          <w:rFonts w:eastAsia="Calibri"/>
          <w:sz w:val="28"/>
          <w:szCs w:val="28"/>
          <w:lang w:eastAsia="en-US"/>
        </w:rPr>
        <w:lastRenderedPageBreak/>
        <w:t>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5D1F07" w:rsidRDefault="005D1F07" w:rsidP="005D1F0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2. </w:t>
      </w:r>
      <w:r>
        <w:rPr>
          <w:rFonts w:eastAsia="Calibri"/>
          <w:b/>
          <w:sz w:val="28"/>
          <w:szCs w:val="28"/>
          <w:lang w:eastAsia="en-US"/>
        </w:rPr>
        <w:t xml:space="preserve">Требования к порядку организации проведения </w:t>
      </w:r>
      <w:r>
        <w:rPr>
          <w:rFonts w:eastAsia="Calibri"/>
          <w:b/>
          <w:bCs/>
          <w:sz w:val="28"/>
          <w:szCs w:val="28"/>
          <w:lang w:eastAsia="en-US"/>
        </w:rPr>
        <w:t>оценки эффективности предоставления налоговых и иных льгот и преимуществ</w:t>
      </w:r>
    </w:p>
    <w:p w:rsidR="005D1F07" w:rsidRDefault="005D1F07" w:rsidP="005D1F0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Контрольные мероприятия по вопросам целевого использования средств, высвободившихся от налогообложения в результате предоставления налоговых льгот, оценки эффективности предоставления налоговых и иных льгот и преимуществ, проводятся на основании плана работы КСП на текущий год, утвержденного постановлением КСП. </w:t>
      </w:r>
    </w:p>
    <w:p w:rsidR="005D1F07" w:rsidRDefault="005D1F07" w:rsidP="005D1F0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 Ответственными за проведение контрольного мероприятия являются сотрудники КСП. </w:t>
      </w:r>
    </w:p>
    <w:p w:rsidR="005D1F07" w:rsidRDefault="005D1F07" w:rsidP="005D1F0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 Подготовка организационно-распорядительных документов по проведению контрольного мероприятия и непосредственное его проведение осуществляются в соответствии со Стандартом внешнего муниципального финансового контроля «Общие правила проведения контрольного мероприятия». </w:t>
      </w:r>
    </w:p>
    <w:p w:rsidR="005D1F07" w:rsidRDefault="005D1F07" w:rsidP="005D1F0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2.4. Объекты контрольного мероприятия определяются в соответствии со Стандартом внешнего муниципального финансового контроля «Общие правила проведения контрольного мероприятия» и статьей 266.1 Бюджетного кодекса Российской Федерации. </w:t>
      </w:r>
    </w:p>
    <w:p w:rsidR="005D1F07" w:rsidRDefault="005D1F07" w:rsidP="005D1F0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2.5. Цель проведения контрольных мероприятий: целевое использование средств, высвободившихся от налогообложения в результате предоставления налоговых льгот, оценка эффективности предоставления налоговых и иных льгот и преимуществ</w:t>
      </w:r>
      <w:r>
        <w:rPr>
          <w:sz w:val="28"/>
          <w:szCs w:val="28"/>
          <w:lang w:eastAsia="ru-RU"/>
        </w:rPr>
        <w:t>.</w:t>
      </w:r>
    </w:p>
    <w:p w:rsidR="005D1F07" w:rsidRDefault="005D1F07" w:rsidP="005D1F07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2.6. Предметом контрольного мероприятия является процесс предоставления и использования налоговых и иных льгот и преимуществ за счет средств местного бюджета.</w:t>
      </w:r>
    </w:p>
    <w:p w:rsidR="005D1F07" w:rsidRDefault="005D1F07" w:rsidP="005D1F07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3. Требования к проведению оценки эффективности предоставления налоговых и иных льгот и преимуществ </w:t>
      </w:r>
    </w:p>
    <w:p w:rsidR="005D1F07" w:rsidRDefault="005D1F07" w:rsidP="005D1F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 Для обеспечения проведения оценки бюджетной, экономической и социальной эффективности налоговых или иных льгот и преимуществ сотрудник КСП направляет запрос в налоговые и иные компетентные органы о предоставлении информации за оцениваемый период о суммах налоговых льгот в разрезе категорий налогоплательщиков и видов налогов.</w:t>
      </w:r>
    </w:p>
    <w:p w:rsidR="005D1F07" w:rsidRDefault="005D1F07" w:rsidP="005D1F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hint="eastAsia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Также сотрудник КСП, ответственный за проведение контрольного мероприятия, может запросить у налогоплательщиков либо иных получателей сведения об экономических и финансовых показателях, а также социально значимых результатах деятельности налогоплательщиков, получивших налоговые льготы, и получателей иных льгот и преимуществ.</w:t>
      </w:r>
    </w:p>
    <w:p w:rsidR="005D1F07" w:rsidRDefault="005D1F07" w:rsidP="005D1F07">
      <w:pPr>
        <w:spacing w:line="360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 Для оценки эффективности налоговых льгот используются следующие критерии:</w:t>
      </w:r>
    </w:p>
    <w:p w:rsidR="005D1F07" w:rsidRDefault="005D1F07" w:rsidP="005D1F07">
      <w:pPr>
        <w:spacing w:line="360" w:lineRule="auto"/>
        <w:ind w:firstLine="680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3.3.1. Бюджетная эффективность, под которой понимается влияние налоговых льгот на доходы местного бюджета (увеличение налогооблагаемой базы, прирост налоговых платежей в местный бюджет). </w:t>
      </w:r>
      <w:r>
        <w:rPr>
          <w:rFonts w:eastAsia="Calibri"/>
          <w:spacing w:val="2"/>
          <w:sz w:val="28"/>
          <w:szCs w:val="28"/>
          <w:lang w:eastAsia="en-US"/>
        </w:rPr>
        <w:t>Бюджетная эффективность налоговых льгот рассчитывается по следующей формуле: </w:t>
      </w:r>
    </w:p>
    <w:p w:rsidR="005D1F07" w:rsidRDefault="005D1F07" w:rsidP="005D1F07">
      <w:pPr>
        <w:shd w:val="clear" w:color="auto" w:fill="FFFFFF"/>
        <w:spacing w:line="360" w:lineRule="auto"/>
        <w:jc w:val="center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>
        <w:rPr>
          <w:noProof/>
          <w:spacing w:val="2"/>
          <w:sz w:val="28"/>
          <w:szCs w:val="28"/>
          <w:lang w:eastAsia="ru-RU" w:bidi="ar-SA"/>
        </w:rPr>
        <w:drawing>
          <wp:inline distT="0" distB="0" distL="0" distR="0">
            <wp:extent cx="2343150" cy="571500"/>
            <wp:effectExtent l="0" t="0" r="0" b="0"/>
            <wp:docPr id="2" name="Рисунок 2" descr="Описание: ОБ ОЦЕНКЕ ЭФФЕКТИВНОСТИ ПРЕДОСТАВЛЕНИЯ ЛЬГОТ ПО РЕГИОНАЛЬНЫМ НАЛОГАМ И УСТАНОВЛЕНИЯ ПОНИЖЕННЫХ СТАВОК ПО НАЛОГУ НА ПРИБЫЛЬ ОРГАНИЗАЦИЙ (с изменениями на: 08.09.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Б ОЦЕНКЕ ЭФФЕКТИВНОСТИ ПРЕДОСТАВЛЕНИЯ ЛЬГОТ ПО РЕГИОНАЛЬНЫМ НАЛОГАМ И УСТАНОВЛЕНИЯ ПОНИЖЕННЫХ СТАВОК ПО НАЛОГУ НА ПРИБЫЛЬ ОРГАНИЗАЦИЙ (с изменениями на: 08.09.2016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  <w:sz w:val="28"/>
          <w:szCs w:val="28"/>
          <w:lang w:eastAsia="ru-RU"/>
        </w:rPr>
        <w:t>где:</w:t>
      </w:r>
    </w:p>
    <w:p w:rsidR="005D1F07" w:rsidRDefault="005D1F07" w:rsidP="005D1F07">
      <w:pPr>
        <w:shd w:val="clear" w:color="auto" w:fill="FFFFFF"/>
        <w:spacing w:line="360" w:lineRule="auto"/>
        <w:ind w:firstLine="680"/>
        <w:jc w:val="both"/>
        <w:textAlignment w:val="baseline"/>
        <w:rPr>
          <w:rFonts w:hint="eastAsia"/>
          <w:spacing w:val="2"/>
          <w:sz w:val="28"/>
          <w:szCs w:val="28"/>
          <w:lang w:eastAsia="ru-RU"/>
        </w:rPr>
      </w:pPr>
      <w:r>
        <w:rPr>
          <w:b/>
          <w:spacing w:val="2"/>
          <w:sz w:val="28"/>
          <w:szCs w:val="28"/>
          <w:lang w:eastAsia="ru-RU"/>
        </w:rPr>
        <w:t>- К</w:t>
      </w:r>
      <w:r>
        <w:rPr>
          <w:b/>
          <w:spacing w:val="2"/>
          <w:sz w:val="28"/>
          <w:szCs w:val="28"/>
          <w:vertAlign w:val="subscript"/>
          <w:lang w:eastAsia="ru-RU"/>
        </w:rPr>
        <w:t>БЭ</w:t>
      </w:r>
      <w:r>
        <w:rPr>
          <w:spacing w:val="2"/>
          <w:sz w:val="28"/>
          <w:szCs w:val="28"/>
          <w:lang w:eastAsia="ru-RU"/>
        </w:rPr>
        <w:t xml:space="preserve"> - коэффициент бюджетной эффективности; </w:t>
      </w:r>
    </w:p>
    <w:p w:rsidR="005D1F07" w:rsidRDefault="005D1F07" w:rsidP="005D1F07">
      <w:pPr>
        <w:shd w:val="clear" w:color="auto" w:fill="FFFFFF"/>
        <w:spacing w:line="360" w:lineRule="auto"/>
        <w:ind w:firstLine="680"/>
        <w:jc w:val="both"/>
        <w:textAlignment w:val="baseline"/>
        <w:rPr>
          <w:rFonts w:hint="eastAsia"/>
          <w:spacing w:val="2"/>
          <w:sz w:val="28"/>
          <w:szCs w:val="28"/>
          <w:lang w:eastAsia="ru-RU"/>
        </w:rPr>
      </w:pPr>
      <w:r>
        <w:rPr>
          <w:b/>
          <w:spacing w:val="2"/>
          <w:sz w:val="28"/>
          <w:szCs w:val="28"/>
          <w:lang w:eastAsia="ru-RU"/>
        </w:rPr>
        <w:t xml:space="preserve">- </w:t>
      </w:r>
      <w:r>
        <w:rPr>
          <w:b/>
          <w:spacing w:val="2"/>
          <w:sz w:val="28"/>
          <w:szCs w:val="28"/>
          <w:lang w:eastAsia="ru-RU"/>
        </w:rPr>
        <w:sym w:font="Symbol" w:char="F044"/>
      </w:r>
      <w:r>
        <w:rPr>
          <w:b/>
          <w:spacing w:val="2"/>
          <w:sz w:val="28"/>
          <w:szCs w:val="28"/>
          <w:lang w:eastAsia="ru-RU"/>
        </w:rPr>
        <w:t>НП</w:t>
      </w:r>
      <w:r>
        <w:rPr>
          <w:spacing w:val="2"/>
          <w:sz w:val="28"/>
          <w:szCs w:val="28"/>
          <w:lang w:eastAsia="ru-RU"/>
        </w:rPr>
        <w:t xml:space="preserve"> - прирост налоговых поступлений в местный бюджет за отчетный (планируемый) период;</w:t>
      </w:r>
    </w:p>
    <w:p w:rsidR="005D1F07" w:rsidRDefault="005D1F07" w:rsidP="005D1F07">
      <w:pPr>
        <w:shd w:val="clear" w:color="auto" w:fill="FFFFFF"/>
        <w:spacing w:line="360" w:lineRule="auto"/>
        <w:ind w:firstLine="680"/>
        <w:jc w:val="both"/>
        <w:textAlignment w:val="baseline"/>
        <w:rPr>
          <w:rFonts w:hint="eastAsia"/>
          <w:spacing w:val="2"/>
          <w:sz w:val="28"/>
          <w:szCs w:val="28"/>
          <w:lang w:eastAsia="ru-RU"/>
        </w:rPr>
      </w:pPr>
      <w:r>
        <w:rPr>
          <w:b/>
          <w:spacing w:val="2"/>
          <w:sz w:val="28"/>
          <w:szCs w:val="28"/>
          <w:lang w:eastAsia="ru-RU"/>
        </w:rPr>
        <w:lastRenderedPageBreak/>
        <w:t xml:space="preserve">- </w:t>
      </w:r>
      <w:r>
        <w:rPr>
          <w:b/>
          <w:noProof/>
          <w:spacing w:val="2"/>
          <w:sz w:val="28"/>
          <w:szCs w:val="28"/>
          <w:lang w:eastAsia="ru-RU"/>
        </w:rPr>
        <w:sym w:font="Symbol" w:char="F053"/>
      </w:r>
      <w:r>
        <w:rPr>
          <w:b/>
          <w:noProof/>
          <w:spacing w:val="2"/>
          <w:sz w:val="28"/>
          <w:szCs w:val="28"/>
          <w:lang w:eastAsia="ru-RU"/>
        </w:rPr>
        <w:t>НЛ</w:t>
      </w:r>
      <w:r>
        <w:rPr>
          <w:b/>
          <w:noProof/>
          <w:spacing w:val="2"/>
          <w:sz w:val="28"/>
          <w:szCs w:val="28"/>
          <w:vertAlign w:val="subscript"/>
          <w:lang w:eastAsia="ru-RU"/>
        </w:rPr>
        <w:t>(НП,НИО,ТН)</w:t>
      </w:r>
      <w:r>
        <w:rPr>
          <w:noProof/>
          <w:spacing w:val="2"/>
          <w:sz w:val="28"/>
          <w:szCs w:val="28"/>
          <w:vertAlign w:val="subscript"/>
          <w:lang w:eastAsia="ru-RU"/>
        </w:rPr>
        <w:t xml:space="preserve"> </w:t>
      </w:r>
      <w:r>
        <w:rPr>
          <w:spacing w:val="2"/>
          <w:sz w:val="28"/>
          <w:szCs w:val="28"/>
          <w:lang w:eastAsia="ru-RU"/>
        </w:rPr>
        <w:t xml:space="preserve">- общая сумма налоговых льгот, предоставленных в соответствии с законодательством, за отчетный (планируемый) период по налогу на прибыль организаций (НП), по налогу на имущество организаций (НИО), по транспортному налогу (ТН). </w:t>
      </w:r>
    </w:p>
    <w:p w:rsidR="005D1F07" w:rsidRDefault="005D1F07" w:rsidP="005D1F07">
      <w:pPr>
        <w:shd w:val="clear" w:color="auto" w:fill="FFFFFF"/>
        <w:spacing w:line="360" w:lineRule="auto"/>
        <w:ind w:firstLine="680"/>
        <w:jc w:val="both"/>
        <w:textAlignment w:val="baseline"/>
        <w:rPr>
          <w:rFonts w:hint="eastAsia"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При </w:t>
      </w:r>
      <w:r>
        <w:rPr>
          <w:spacing w:val="2"/>
          <w:sz w:val="28"/>
          <w:szCs w:val="28"/>
          <w:shd w:val="clear" w:color="auto" w:fill="FFFFFF"/>
          <w:lang w:eastAsia="ru-RU"/>
        </w:rPr>
        <w:t>К</w:t>
      </w:r>
      <w:r>
        <w:rPr>
          <w:spacing w:val="2"/>
          <w:sz w:val="28"/>
          <w:szCs w:val="28"/>
          <w:shd w:val="clear" w:color="auto" w:fill="FFFFFF"/>
          <w:vertAlign w:val="subscript"/>
          <w:lang w:eastAsia="ru-RU"/>
        </w:rPr>
        <w:t>БЭ</w:t>
      </w:r>
      <w:r>
        <w:rPr>
          <w:spacing w:val="2"/>
          <w:sz w:val="28"/>
          <w:szCs w:val="28"/>
          <w:shd w:val="clear" w:color="auto" w:fill="FFFFFF"/>
          <w:lang w:eastAsia="ru-RU"/>
        </w:rPr>
        <w:t xml:space="preserve"> ≥ 1</w:t>
      </w:r>
      <w:r>
        <w:rPr>
          <w:spacing w:val="2"/>
          <w:sz w:val="28"/>
          <w:szCs w:val="28"/>
          <w:lang w:eastAsia="ru-RU"/>
        </w:rPr>
        <w:t xml:space="preserve"> - налоговые льготы имеют положительный бюджетный эффект. </w:t>
      </w:r>
    </w:p>
    <w:p w:rsidR="005D1F07" w:rsidRDefault="005D1F07" w:rsidP="005D1F07">
      <w:pPr>
        <w:shd w:val="clear" w:color="auto" w:fill="FFFFFF"/>
        <w:spacing w:line="360" w:lineRule="auto"/>
        <w:ind w:firstLine="680"/>
        <w:jc w:val="both"/>
        <w:textAlignment w:val="baseline"/>
        <w:rPr>
          <w:rFonts w:hint="eastAsia"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При К</w:t>
      </w:r>
      <w:r>
        <w:rPr>
          <w:spacing w:val="2"/>
          <w:sz w:val="28"/>
          <w:szCs w:val="28"/>
          <w:vertAlign w:val="subscript"/>
          <w:lang w:eastAsia="ru-RU"/>
        </w:rPr>
        <w:t>БЭ</w:t>
      </w:r>
      <w:r>
        <w:rPr>
          <w:spacing w:val="2"/>
          <w:sz w:val="28"/>
          <w:szCs w:val="28"/>
          <w:lang w:eastAsia="ru-RU"/>
        </w:rPr>
        <w:t xml:space="preserve"> &lt; 1 - налоговые льготы не имеют положительного бюджетного эффекта.</w:t>
      </w:r>
    </w:p>
    <w:p w:rsidR="005D1F07" w:rsidRDefault="005D1F07" w:rsidP="005D1F07">
      <w:pPr>
        <w:spacing w:line="360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3.3.2. Экономическая эффективность,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под которой понимается положительная динамика отдельных финансово-экономических показателей деятельности организаций. </w:t>
      </w:r>
    </w:p>
    <w:p w:rsidR="005D1F07" w:rsidRDefault="005D1F07" w:rsidP="005D1F07">
      <w:pPr>
        <w:spacing w:line="360" w:lineRule="auto"/>
        <w:ind w:firstLine="680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Для расчета коэффициента экономической эффективности (КЭЭ) используются следующие показатели: </w:t>
      </w:r>
    </w:p>
    <w:p w:rsidR="005D1F07" w:rsidRDefault="005D1F07" w:rsidP="005D1F07">
      <w:pPr>
        <w:spacing w:line="360" w:lineRule="auto"/>
        <w:ind w:firstLine="680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- объем отгруженных товаров собственного производства, выполненных работ и услуг собственными силами (или показатель, характеризующий объем оказанных услуг);</w:t>
      </w:r>
    </w:p>
    <w:p w:rsidR="005D1F07" w:rsidRDefault="005D1F07" w:rsidP="005D1F07">
      <w:pPr>
        <w:spacing w:line="360" w:lineRule="auto"/>
        <w:ind w:firstLine="680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- выручка от реализации;</w:t>
      </w:r>
    </w:p>
    <w:p w:rsidR="005D1F07" w:rsidRDefault="005D1F07" w:rsidP="005D1F07">
      <w:pPr>
        <w:spacing w:line="360" w:lineRule="auto"/>
        <w:ind w:firstLine="680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- прибыль до налогообложения;</w:t>
      </w:r>
    </w:p>
    <w:p w:rsidR="005D1F07" w:rsidRDefault="005D1F07" w:rsidP="005D1F07">
      <w:pPr>
        <w:spacing w:line="360" w:lineRule="auto"/>
        <w:ind w:firstLine="680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- среднегодовая стоимость основных средств;</w:t>
      </w:r>
    </w:p>
    <w:p w:rsidR="005D1F07" w:rsidRDefault="005D1F07" w:rsidP="005D1F07">
      <w:pPr>
        <w:spacing w:line="360" w:lineRule="auto"/>
        <w:ind w:firstLine="680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- объем инвестиций.</w:t>
      </w:r>
    </w:p>
    <w:p w:rsidR="005D1F07" w:rsidRDefault="005D1F07" w:rsidP="005D1F07">
      <w:pPr>
        <w:spacing w:line="360" w:lineRule="auto"/>
        <w:ind w:firstLine="680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Экономическая эффективность рассчитывается как отношение количества показателей, по которым произошел рост по сравнению с предшествующим периодом или сохранен уровень предшествующего периода, к количеству показателей, по которым произошло снижение.</w:t>
      </w: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520"/>
      </w:tblGrid>
      <w:tr w:rsidR="005D1F07" w:rsidTr="005D1F07">
        <w:trPr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5D1F07" w:rsidRDefault="005D1F0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КЭЭ =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F07" w:rsidRDefault="005D1F0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>Количество показателей, по которым произошел рост</w:t>
            </w:r>
          </w:p>
        </w:tc>
      </w:tr>
      <w:tr w:rsidR="005D1F07" w:rsidTr="005D1F07">
        <w:trPr>
          <w:jc w:val="center"/>
        </w:trPr>
        <w:tc>
          <w:tcPr>
            <w:tcW w:w="1242" w:type="dxa"/>
            <w:vMerge/>
            <w:vAlign w:val="center"/>
            <w:hideMark/>
          </w:tcPr>
          <w:p w:rsidR="005D1F07" w:rsidRDefault="005D1F07">
            <w:pPr>
              <w:rPr>
                <w:rFonts w:hint="eastAsia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1F07" w:rsidRDefault="005D1F07">
            <w:pPr>
              <w:widowControl w:val="0"/>
              <w:tabs>
                <w:tab w:val="left" w:pos="585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>Количество показателей, по которым произошло снижение</w:t>
            </w:r>
          </w:p>
        </w:tc>
      </w:tr>
    </w:tbl>
    <w:p w:rsidR="005D1F07" w:rsidRDefault="005D1F07" w:rsidP="005D1F07">
      <w:pPr>
        <w:spacing w:line="360" w:lineRule="auto"/>
        <w:ind w:firstLine="680"/>
        <w:jc w:val="both"/>
        <w:rPr>
          <w:rFonts w:hint="eastAsia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При КЭЭ ≥ 1 - налоговые льготы имеют положительный экономический эффект.</w:t>
      </w:r>
    </w:p>
    <w:p w:rsidR="005D1F07" w:rsidRDefault="005D1F07" w:rsidP="005D1F07">
      <w:pPr>
        <w:spacing w:line="360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lastRenderedPageBreak/>
        <w:t>При КЭЭ &lt; 1 - налоговые льготы не имеют положительного экономического эффекта.</w:t>
      </w:r>
    </w:p>
    <w:p w:rsidR="005D1F07" w:rsidRDefault="005D1F07" w:rsidP="005D1F07">
      <w:pPr>
        <w:spacing w:line="360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3.3.3. Социальная эффективность, под которой понимается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повышение уровня жизни населения, его социальной защищенности и обеспечение занятости.</w:t>
      </w:r>
    </w:p>
    <w:p w:rsidR="005D1F07" w:rsidRDefault="005D1F07" w:rsidP="005D1F07">
      <w:pPr>
        <w:spacing w:line="360" w:lineRule="auto"/>
        <w:ind w:firstLine="680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Для расчета коэффициента социальной эффективности (КСЭ) используются следующие показатели:</w:t>
      </w:r>
    </w:p>
    <w:p w:rsidR="005D1F07" w:rsidRDefault="005D1F07" w:rsidP="005D1F07">
      <w:pPr>
        <w:spacing w:line="360" w:lineRule="auto"/>
        <w:ind w:firstLine="680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- среднесписочная численность работников;</w:t>
      </w:r>
    </w:p>
    <w:p w:rsidR="005D1F07" w:rsidRDefault="005D1F07" w:rsidP="005D1F07">
      <w:pPr>
        <w:spacing w:line="360" w:lineRule="auto"/>
        <w:ind w:firstLine="680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- среднемесячная заработная плата работников;</w:t>
      </w:r>
    </w:p>
    <w:p w:rsidR="005D1F07" w:rsidRDefault="005D1F07" w:rsidP="005D1F07">
      <w:pPr>
        <w:spacing w:line="360" w:lineRule="auto"/>
        <w:ind w:firstLine="680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- расходы на улучшение условий охраны труда;</w:t>
      </w:r>
    </w:p>
    <w:p w:rsidR="005D1F07" w:rsidRDefault="005D1F07" w:rsidP="005D1F07">
      <w:pPr>
        <w:spacing w:line="360" w:lineRule="auto"/>
        <w:ind w:firstLine="680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- расходы на благотворительные цели;</w:t>
      </w:r>
    </w:p>
    <w:p w:rsidR="005D1F07" w:rsidRDefault="005D1F07" w:rsidP="005D1F07">
      <w:pPr>
        <w:spacing w:line="360" w:lineRule="auto"/>
        <w:ind w:firstLine="680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- расходы на повышение экологической безопасности.</w:t>
      </w:r>
    </w:p>
    <w:p w:rsidR="005D1F07" w:rsidRDefault="005D1F07" w:rsidP="005D1F07">
      <w:pPr>
        <w:spacing w:line="360" w:lineRule="auto"/>
        <w:ind w:firstLine="680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Социальная эффективность рассчитывается как отношение количества показателей, по которым произошел рост по сравнению с предшествующим периодом или сохранен уровень предшествующего периода, к количеству показателей, по которым произошло снижение.</w:t>
      </w: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520"/>
      </w:tblGrid>
      <w:tr w:rsidR="005D1F07" w:rsidTr="005D1F07">
        <w:trPr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5D1F07" w:rsidRDefault="005D1F0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КСЭ =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F07" w:rsidRDefault="005D1F0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>Количество показателей, по которым произошел рост</w:t>
            </w:r>
          </w:p>
        </w:tc>
      </w:tr>
      <w:tr w:rsidR="005D1F07" w:rsidTr="005D1F07">
        <w:trPr>
          <w:jc w:val="center"/>
        </w:trPr>
        <w:tc>
          <w:tcPr>
            <w:tcW w:w="1242" w:type="dxa"/>
            <w:vMerge/>
            <w:vAlign w:val="center"/>
            <w:hideMark/>
          </w:tcPr>
          <w:p w:rsidR="005D1F07" w:rsidRDefault="005D1F07">
            <w:pPr>
              <w:rPr>
                <w:rFonts w:hint="eastAsia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1F07" w:rsidRDefault="005D1F07">
            <w:pPr>
              <w:widowControl w:val="0"/>
              <w:tabs>
                <w:tab w:val="left" w:pos="585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>Количество показателей, по которым произошло снижение</w:t>
            </w:r>
          </w:p>
        </w:tc>
      </w:tr>
    </w:tbl>
    <w:p w:rsidR="005D1F07" w:rsidRDefault="005D1F07" w:rsidP="005D1F07">
      <w:pPr>
        <w:spacing w:line="360" w:lineRule="auto"/>
        <w:ind w:firstLine="680"/>
        <w:jc w:val="both"/>
        <w:rPr>
          <w:rFonts w:hint="eastAsia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При КСЭ ≥ 1 - налоговые льготы имеют положительный социальный эффект.</w:t>
      </w:r>
    </w:p>
    <w:p w:rsidR="005D1F07" w:rsidRDefault="005D1F07" w:rsidP="005D1F07">
      <w:pPr>
        <w:spacing w:line="360" w:lineRule="auto"/>
        <w:ind w:firstLine="680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При КСЭ &lt; 1 - налоговые льготы не имеют положительного социального эффекта. </w:t>
      </w:r>
    </w:p>
    <w:p w:rsidR="005D1F07" w:rsidRDefault="005D1F07" w:rsidP="005D1F0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Требования к порядку организации и проведению оценки эффективности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собственности муниципальной собственности</w:t>
      </w:r>
    </w:p>
    <w:p w:rsidR="005D1F07" w:rsidRDefault="005D1F07" w:rsidP="005D1F07">
      <w:pPr>
        <w:spacing w:line="360" w:lineRule="auto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lastRenderedPageBreak/>
        <w:t xml:space="preserve">4.1. </w:t>
      </w:r>
      <w:r>
        <w:rPr>
          <w:rFonts w:eastAsia="Calibri"/>
          <w:sz w:val="28"/>
          <w:szCs w:val="28"/>
          <w:lang w:eastAsia="en-US"/>
        </w:rPr>
        <w:t>Оценка эффективности 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</w:r>
      <w:r>
        <w:rPr>
          <w:rFonts w:eastAsia="Calibri"/>
          <w:snapToGrid w:val="0"/>
          <w:sz w:val="28"/>
          <w:szCs w:val="28"/>
          <w:lang w:eastAsia="en-US"/>
        </w:rPr>
        <w:t xml:space="preserve"> проводится в рамках проверки соблюдения требований бюджетного и иного законодательства, связанного с вопросами предоставления </w:t>
      </w:r>
      <w:r>
        <w:rPr>
          <w:rFonts w:eastAsia="Calibri"/>
          <w:sz w:val="28"/>
          <w:szCs w:val="28"/>
          <w:lang w:eastAsia="en-US"/>
        </w:rPr>
        <w:t>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</w:r>
    </w:p>
    <w:p w:rsidR="005D1F07" w:rsidRDefault="005D1F07" w:rsidP="005D1F07">
      <w:pPr>
        <w:spacing w:line="360" w:lineRule="auto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Оценка по вопросам, указанным в пункте 4.1 Стандарта, проводится путем контрольного мероприятия в соответствии с законодательством.  </w:t>
      </w:r>
    </w:p>
    <w:p w:rsidR="005D1F07" w:rsidRDefault="005D1F07" w:rsidP="005D1F07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5.</w:t>
      </w:r>
      <w:r>
        <w:rPr>
          <w:b/>
          <w:bCs/>
          <w:sz w:val="28"/>
          <w:szCs w:val="28"/>
          <w:lang w:eastAsia="ru-RU"/>
        </w:rPr>
        <w:t xml:space="preserve"> Порядок оформления результатов проведения контрольного мероприятия</w:t>
      </w:r>
    </w:p>
    <w:p w:rsidR="005D1F07" w:rsidRDefault="005D1F07" w:rsidP="005D1F07">
      <w:pPr>
        <w:spacing w:line="360" w:lineRule="auto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5.1. Порядок оформления результатов контрольного мероприятия </w:t>
      </w:r>
      <w:r>
        <w:rPr>
          <w:rFonts w:eastAsia="Calibri"/>
          <w:sz w:val="28"/>
          <w:szCs w:val="28"/>
          <w:lang w:eastAsia="en-US"/>
        </w:rPr>
        <w:t xml:space="preserve">целевого использования средств, высвободившихся от налогообложения в результате предоставления налоговых льгот,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оценки эффективности предоставления налоговых и иных льгот и преимуществ, </w:t>
      </w:r>
      <w:r>
        <w:rPr>
          <w:rFonts w:eastAsia="Calibri"/>
          <w:sz w:val="28"/>
          <w:szCs w:val="28"/>
          <w:lang w:eastAsia="en-US"/>
        </w:rPr>
        <w:t xml:space="preserve">оценки эффективности 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собственности,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осуществляется в соответствии </w:t>
      </w:r>
      <w:r>
        <w:rPr>
          <w:rFonts w:eastAsia="Calibri"/>
          <w:sz w:val="28"/>
          <w:szCs w:val="28"/>
          <w:lang w:eastAsia="en-US"/>
        </w:rPr>
        <w:t>Стандартом внешнего муниципального финансового контроля «Общие правила проведения контрольного мероприятия»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5D1F07" w:rsidRDefault="005D1F07" w:rsidP="005D1F07">
      <w:pPr>
        <w:tabs>
          <w:tab w:val="left" w:pos="993"/>
        </w:tabs>
        <w:spacing w:line="360" w:lineRule="auto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5.2. Результаты оценки эффективности предоставления налоговых и иных льгот и преимуществ отражаются в отчете о результатах контрольного мероприятия, содержащем следующую информацию:</w:t>
      </w:r>
    </w:p>
    <w:p w:rsidR="005D1F07" w:rsidRDefault="005D1F07" w:rsidP="005D1F0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200" w:line="360" w:lineRule="auto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реестр предоставленных налоговых и иных льгот и преимуществ;</w:t>
      </w:r>
    </w:p>
    <w:p w:rsidR="005D1F07" w:rsidRDefault="005D1F07" w:rsidP="005D1F0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200" w:line="360" w:lineRule="auto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сумму средств, высвобождающихся у налогоплательщиков, получателей в результате предоставления налоговых и иных льгот и преимуществ;</w:t>
      </w:r>
    </w:p>
    <w:p w:rsidR="005D1F07" w:rsidRDefault="005D1F07" w:rsidP="005D1F0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200" w:line="360" w:lineRule="auto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оценку достижения целей, в обеспечение которых предоставлены налоговые и иные льготы и преимущества;</w:t>
      </w:r>
    </w:p>
    <w:p w:rsidR="005D1F07" w:rsidRDefault="005D1F07" w:rsidP="005D1F0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200" w:line="360" w:lineRule="auto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предложения по сохранению, корректировке или отмене налоговых и иных льгот и преимуществ в зависимости от результатов оценки эффективности.</w:t>
      </w:r>
    </w:p>
    <w:p w:rsidR="005D1F07" w:rsidRDefault="005D1F07" w:rsidP="005D1F07">
      <w:pPr>
        <w:tabs>
          <w:tab w:val="left" w:pos="426"/>
          <w:tab w:val="left" w:pos="993"/>
        </w:tabs>
        <w:spacing w:line="360" w:lineRule="auto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 Результаты оценки эффективности предоставления налоговых и иных льгот и преимуществ могут использоваться для:</w:t>
      </w:r>
    </w:p>
    <w:p w:rsidR="005D1F07" w:rsidRDefault="005D1F07" w:rsidP="005D1F07">
      <w:pPr>
        <w:numPr>
          <w:ilvl w:val="0"/>
          <w:numId w:val="4"/>
        </w:numPr>
        <w:tabs>
          <w:tab w:val="left" w:pos="426"/>
          <w:tab w:val="left" w:pos="1134"/>
        </w:tabs>
        <w:spacing w:after="200" w:line="360" w:lineRule="auto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разработки бюджета </w:t>
      </w:r>
      <w:r w:rsidRPr="005D1F07">
        <w:rPr>
          <w:rFonts w:ascii="Times New Roman" w:hAnsi="Times New Roman" w:cs="Times New Roman"/>
          <w:color w:val="1D2124"/>
          <w:sz w:val="28"/>
          <w:szCs w:val="28"/>
        </w:rPr>
        <w:t>Сергиево-Посадского городского округа Московской области</w:t>
      </w:r>
      <w:r>
        <w:rPr>
          <w:rFonts w:eastAsia="Calibri"/>
          <w:sz w:val="28"/>
          <w:szCs w:val="28"/>
          <w:lang w:eastAsia="en-US"/>
        </w:rPr>
        <w:t xml:space="preserve"> на очередной финансовый год и плановый период;</w:t>
      </w:r>
    </w:p>
    <w:p w:rsidR="005D1F07" w:rsidRDefault="005D1F07" w:rsidP="005D1F07">
      <w:pPr>
        <w:numPr>
          <w:ilvl w:val="0"/>
          <w:numId w:val="4"/>
        </w:numPr>
        <w:tabs>
          <w:tab w:val="left" w:pos="426"/>
          <w:tab w:val="left" w:pos="1134"/>
        </w:tabs>
        <w:spacing w:after="200" w:line="360" w:lineRule="auto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своевременного принятия мер по отмене неэффективных налоговых и иных льгот и преимуществ;</w:t>
      </w:r>
    </w:p>
    <w:p w:rsidR="005D1F07" w:rsidRDefault="005D1F07" w:rsidP="005D1F07">
      <w:pPr>
        <w:numPr>
          <w:ilvl w:val="0"/>
          <w:numId w:val="4"/>
        </w:numPr>
        <w:tabs>
          <w:tab w:val="left" w:pos="426"/>
          <w:tab w:val="left" w:pos="1134"/>
        </w:tabs>
        <w:spacing w:after="200" w:line="360" w:lineRule="auto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введения новых видов налоговых и иных льгот и преимуществ (внесения изменений в предоставленные налоговые и иные льготы и преимущества).</w:t>
      </w:r>
    </w:p>
    <w:p w:rsidR="00CD794E" w:rsidRDefault="005D1F07" w:rsidP="005D1F07">
      <w:pPr>
        <w:spacing w:line="360" w:lineRule="auto"/>
        <w:ind w:firstLine="709"/>
        <w:jc w:val="both"/>
        <w:textAlignment w:val="baseline"/>
        <w:rPr>
          <w:rFonts w:hint="eastAsia"/>
        </w:rPr>
      </w:pPr>
      <w:r>
        <w:rPr>
          <w:rFonts w:eastAsia="Calibri"/>
          <w:sz w:val="28"/>
          <w:szCs w:val="28"/>
          <w:lang w:eastAsia="en-US"/>
        </w:rPr>
        <w:t>5.4. Информация о результатах контрольного мероприятия направляется представительный орган муниципального образования и Главе муниципального образования.</w:t>
      </w:r>
    </w:p>
    <w:sectPr w:rsidR="00CD794E">
      <w:pgSz w:w="11906" w:h="16838"/>
      <w:pgMar w:top="1693" w:right="1121" w:bottom="1134" w:left="1545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94" w:rsidRDefault="00424894">
      <w:pPr>
        <w:rPr>
          <w:rFonts w:hint="eastAsia"/>
        </w:rPr>
      </w:pPr>
      <w:r>
        <w:separator/>
      </w:r>
    </w:p>
  </w:endnote>
  <w:endnote w:type="continuationSeparator" w:id="0">
    <w:p w:rsidR="00424894" w:rsidRDefault="004248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94" w:rsidRDefault="00424894">
      <w:pPr>
        <w:rPr>
          <w:rFonts w:hint="eastAsia"/>
        </w:rPr>
      </w:pPr>
      <w:r>
        <w:separator/>
      </w:r>
    </w:p>
  </w:footnote>
  <w:footnote w:type="continuationSeparator" w:id="0">
    <w:p w:rsidR="00424894" w:rsidRDefault="004248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7209"/>
    <w:multiLevelType w:val="hybridMultilevel"/>
    <w:tmpl w:val="7F0A26DA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802D0"/>
    <w:multiLevelType w:val="multilevel"/>
    <w:tmpl w:val="2990F6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4973" w:hanging="720"/>
      </w:pPr>
    </w:lvl>
    <w:lvl w:ilvl="2">
      <w:start w:val="1"/>
      <w:numFmt w:val="decimal"/>
      <w:isLgl/>
      <w:lvlText w:val="%1.%2.%3."/>
      <w:lvlJc w:val="left"/>
      <w:pPr>
        <w:ind w:left="2346" w:hanging="720"/>
      </w:pPr>
    </w:lvl>
    <w:lvl w:ilvl="3">
      <w:start w:val="1"/>
      <w:numFmt w:val="decimal"/>
      <w:isLgl/>
      <w:lvlText w:val="%1.%2.%3.%4."/>
      <w:lvlJc w:val="left"/>
      <w:pPr>
        <w:ind w:left="3339" w:hanging="1080"/>
      </w:pPr>
    </w:lvl>
    <w:lvl w:ilvl="4">
      <w:start w:val="1"/>
      <w:numFmt w:val="decimal"/>
      <w:isLgl/>
      <w:lvlText w:val="%1.%2.%3.%4.%5."/>
      <w:lvlJc w:val="left"/>
      <w:pPr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ind w:left="4965" w:hanging="1440"/>
      </w:pPr>
    </w:lvl>
    <w:lvl w:ilvl="6">
      <w:start w:val="1"/>
      <w:numFmt w:val="decimal"/>
      <w:isLgl/>
      <w:lvlText w:val="%1.%2.%3.%4.%5.%6.%7."/>
      <w:lvlJc w:val="left"/>
      <w:pPr>
        <w:ind w:left="5958" w:hanging="1800"/>
      </w:p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</w:lvl>
  </w:abstractNum>
  <w:abstractNum w:abstractNumId="2">
    <w:nsid w:val="501A44CD"/>
    <w:multiLevelType w:val="hybridMultilevel"/>
    <w:tmpl w:val="2A705112"/>
    <w:lvl w:ilvl="0" w:tplc="BBD0C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DE2C00"/>
    <w:multiLevelType w:val="multilevel"/>
    <w:tmpl w:val="062C39DE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4E"/>
    <w:rsid w:val="00305E48"/>
    <w:rsid w:val="00424894"/>
    <w:rsid w:val="00496ECE"/>
    <w:rsid w:val="005702A3"/>
    <w:rsid w:val="005C59C9"/>
    <w:rsid w:val="005D1F07"/>
    <w:rsid w:val="00661BC7"/>
    <w:rsid w:val="008E2871"/>
    <w:rsid w:val="009E55E8"/>
    <w:rsid w:val="00CD794E"/>
    <w:rsid w:val="00D84423"/>
    <w:rsid w:val="00E62D85"/>
    <w:rsid w:val="00F869BD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next w:val="a"/>
    <w:link w:val="10"/>
    <w:qFormat/>
    <w:rsid w:val="005D1F07"/>
    <w:pPr>
      <w:keepNext/>
      <w:numPr>
        <w:numId w:val="1"/>
      </w:numPr>
      <w:tabs>
        <w:tab w:val="num" w:pos="0"/>
      </w:tabs>
      <w:suppressAutoHyphens/>
      <w:ind w:left="432" w:hanging="432"/>
      <w:outlineLvl w:val="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Title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header"/>
    <w:basedOn w:val="a"/>
    <w:pPr>
      <w:suppressLineNumbers/>
      <w:tabs>
        <w:tab w:val="center" w:pos="4620"/>
        <w:tab w:val="right" w:pos="9240"/>
      </w:tabs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D84423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D84423"/>
    <w:rPr>
      <w:rFonts w:ascii="Tahoma" w:hAnsi="Tahoma" w:cs="Mangal"/>
      <w:color w:val="00000A"/>
      <w:sz w:val="16"/>
      <w:szCs w:val="14"/>
    </w:rPr>
  </w:style>
  <w:style w:type="paragraph" w:styleId="ac">
    <w:name w:val="footer"/>
    <w:basedOn w:val="a"/>
    <w:link w:val="ad"/>
    <w:uiPriority w:val="99"/>
    <w:unhideWhenUsed/>
    <w:rsid w:val="00F869B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F869BD"/>
    <w:rPr>
      <w:rFonts w:cs="Mangal"/>
      <w:color w:val="00000A"/>
      <w:sz w:val="24"/>
      <w:szCs w:val="21"/>
    </w:rPr>
  </w:style>
  <w:style w:type="character" w:customStyle="1" w:styleId="10">
    <w:name w:val="Заголовок 1 Знак"/>
    <w:basedOn w:val="a0"/>
    <w:link w:val="1"/>
    <w:rsid w:val="005D1F07"/>
    <w:rPr>
      <w:rFonts w:ascii="Times New Roman" w:eastAsia="Times New Roman" w:hAnsi="Times New Roman" w:cs="Times New Roman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next w:val="a"/>
    <w:link w:val="10"/>
    <w:qFormat/>
    <w:rsid w:val="005D1F07"/>
    <w:pPr>
      <w:keepNext/>
      <w:numPr>
        <w:numId w:val="1"/>
      </w:numPr>
      <w:tabs>
        <w:tab w:val="num" w:pos="0"/>
      </w:tabs>
      <w:suppressAutoHyphens/>
      <w:ind w:left="432" w:hanging="432"/>
      <w:outlineLvl w:val="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Title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header"/>
    <w:basedOn w:val="a"/>
    <w:pPr>
      <w:suppressLineNumbers/>
      <w:tabs>
        <w:tab w:val="center" w:pos="4620"/>
        <w:tab w:val="right" w:pos="9240"/>
      </w:tabs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D84423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D84423"/>
    <w:rPr>
      <w:rFonts w:ascii="Tahoma" w:hAnsi="Tahoma" w:cs="Mangal"/>
      <w:color w:val="00000A"/>
      <w:sz w:val="16"/>
      <w:szCs w:val="14"/>
    </w:rPr>
  </w:style>
  <w:style w:type="paragraph" w:styleId="ac">
    <w:name w:val="footer"/>
    <w:basedOn w:val="a"/>
    <w:link w:val="ad"/>
    <w:uiPriority w:val="99"/>
    <w:unhideWhenUsed/>
    <w:rsid w:val="00F869B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F869BD"/>
    <w:rPr>
      <w:rFonts w:cs="Mangal"/>
      <w:color w:val="00000A"/>
      <w:sz w:val="24"/>
      <w:szCs w:val="21"/>
    </w:rPr>
  </w:style>
  <w:style w:type="character" w:customStyle="1" w:styleId="10">
    <w:name w:val="Заголовок 1 Знак"/>
    <w:basedOn w:val="a0"/>
    <w:link w:val="1"/>
    <w:rsid w:val="005D1F07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cp:lastPrinted>2019-11-07T12:42:00Z</cp:lastPrinted>
  <dcterms:created xsi:type="dcterms:W3CDTF">2020-02-26T14:25:00Z</dcterms:created>
  <dcterms:modified xsi:type="dcterms:W3CDTF">2020-02-26T14:25:00Z</dcterms:modified>
  <dc:language>ru-RU</dc:language>
</cp:coreProperties>
</file>