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3F" w:rsidRDefault="003E60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8015" cy="84264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7" t="-38" r="-5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73F" w:rsidRDefault="00CF573F">
      <w:pPr>
        <w:jc w:val="center"/>
      </w:pPr>
    </w:p>
    <w:p w:rsidR="00CF573F" w:rsidRDefault="003E60AC">
      <w:pPr>
        <w:jc w:val="center"/>
        <w:rPr>
          <w:b/>
        </w:rPr>
      </w:pPr>
      <w:r>
        <w:rPr>
          <w:b/>
          <w:sz w:val="28"/>
          <w:szCs w:val="28"/>
        </w:rPr>
        <w:t>КОНТРОЛЬНО - СЧЕТНАЯ ПАЛАТА</w:t>
      </w:r>
    </w:p>
    <w:p w:rsidR="00CF573F" w:rsidRDefault="003E60AC">
      <w:pPr>
        <w:jc w:val="center"/>
      </w:pPr>
      <w:r>
        <w:rPr>
          <w:b/>
          <w:sz w:val="28"/>
          <w:szCs w:val="28"/>
        </w:rPr>
        <w:t>СЕРГИЕВО-ПОСАДСКОГО ГОРОДСКОГО ОКРУГА</w:t>
      </w:r>
    </w:p>
    <w:p w:rsidR="00CF573F" w:rsidRDefault="003E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CF573F" w:rsidRDefault="00CF573F">
      <w:pPr>
        <w:jc w:val="center"/>
        <w:rPr>
          <w:b/>
          <w:sz w:val="28"/>
          <w:szCs w:val="28"/>
        </w:rPr>
      </w:pPr>
    </w:p>
    <w:tbl>
      <w:tblPr>
        <w:tblW w:w="9287" w:type="dxa"/>
        <w:tblInd w:w="-108" w:type="dxa"/>
        <w:tblBorders>
          <w:top w:val="doub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CF573F" w:rsidRPr="009D557D">
        <w:tc>
          <w:tcPr>
            <w:tcW w:w="9287" w:type="dxa"/>
            <w:tcBorders>
              <w:top w:val="double" w:sz="4" w:space="0" w:color="000000"/>
            </w:tcBorders>
            <w:shd w:val="clear" w:color="auto" w:fill="auto"/>
          </w:tcPr>
          <w:p w:rsidR="00CF573F" w:rsidRDefault="003E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Красной Армии, 169, Сергиев Посад, Московская область, 141310</w:t>
            </w:r>
          </w:p>
          <w:p w:rsidR="00CF573F" w:rsidRPr="009D557D" w:rsidRDefault="003E60A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./</w:t>
            </w:r>
            <w:r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  <w:lang w:val="en-US"/>
              </w:rPr>
              <w:t xml:space="preserve"> (496) 540-82-88, E-mail: </w:t>
            </w:r>
            <w:hyperlink r:id="rId9">
              <w:r>
                <w:rPr>
                  <w:rStyle w:val="InternetLink"/>
                  <w:sz w:val="20"/>
                  <w:szCs w:val="20"/>
                  <w:lang w:val="en-US"/>
                </w:rPr>
                <w:t>ksk. spmr@yandex.ru</w:t>
              </w:r>
            </w:hyperlink>
            <w:r>
              <w:rPr>
                <w:sz w:val="20"/>
                <w:szCs w:val="20"/>
                <w:lang w:val="en-US"/>
              </w:rPr>
              <w:t>,</w:t>
            </w:r>
          </w:p>
          <w:p w:rsidR="00CF573F" w:rsidRDefault="00CF57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F573F" w:rsidRDefault="009D557D">
      <w:pPr>
        <w:jc w:val="both"/>
      </w:pPr>
      <w:r>
        <w:rPr>
          <w:sz w:val="20"/>
          <w:szCs w:val="20"/>
          <w:u w:val="single"/>
        </w:rPr>
        <w:t>От 14.04.2020</w:t>
      </w:r>
      <w:r w:rsidR="003E60AC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№</w:t>
      </w:r>
      <w:r w:rsidR="003E60AC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46</w:t>
      </w:r>
      <w:r w:rsidR="003E60AC">
        <w:rPr>
          <w:sz w:val="20"/>
          <w:szCs w:val="20"/>
          <w:u w:val="single"/>
        </w:rPr>
        <w:t>/20-ИС</w:t>
      </w:r>
    </w:p>
    <w:p w:rsidR="00CF573F" w:rsidRDefault="00CF573F">
      <w:pPr>
        <w:jc w:val="both"/>
        <w:rPr>
          <w:sz w:val="20"/>
          <w:szCs w:val="20"/>
          <w:u w:val="single"/>
        </w:rPr>
      </w:pPr>
    </w:p>
    <w:p w:rsidR="00CF573F" w:rsidRDefault="003E60AC">
      <w:pPr>
        <w:jc w:val="both"/>
        <w:rPr>
          <w:sz w:val="20"/>
          <w:szCs w:val="20"/>
        </w:rPr>
      </w:pPr>
      <w:r>
        <w:rPr>
          <w:sz w:val="20"/>
          <w:szCs w:val="20"/>
        </w:rPr>
        <w:t>На № ____________ от _________</w:t>
      </w:r>
    </w:p>
    <w:p w:rsidR="00CF573F" w:rsidRDefault="00CF573F">
      <w:pPr>
        <w:jc w:val="both"/>
        <w:rPr>
          <w:sz w:val="20"/>
          <w:szCs w:val="20"/>
        </w:rPr>
      </w:pPr>
    </w:p>
    <w:p w:rsidR="00CF573F" w:rsidRDefault="003E60AC">
      <w:pPr>
        <w:ind w:left="4956"/>
        <w:jc w:val="both"/>
      </w:pPr>
      <w:r>
        <w:t xml:space="preserve">Главе </w:t>
      </w:r>
      <w:proofErr w:type="gramStart"/>
      <w:r>
        <w:t>Сергиево-Посадского</w:t>
      </w:r>
      <w:proofErr w:type="gramEnd"/>
    </w:p>
    <w:p w:rsidR="00CF573F" w:rsidRDefault="003E60AC">
      <w:pPr>
        <w:ind w:left="4956"/>
        <w:jc w:val="both"/>
      </w:pPr>
      <w:r>
        <w:t>городского округа</w:t>
      </w:r>
    </w:p>
    <w:p w:rsidR="00CF573F" w:rsidRDefault="003E60AC">
      <w:pPr>
        <w:ind w:left="4956"/>
        <w:jc w:val="both"/>
      </w:pPr>
      <w:proofErr w:type="spellStart"/>
      <w:r>
        <w:t>М.Ю.Токареву</w:t>
      </w:r>
      <w:proofErr w:type="spellEnd"/>
    </w:p>
    <w:p w:rsidR="00CF573F" w:rsidRDefault="00CF573F">
      <w:pPr>
        <w:ind w:left="4956"/>
        <w:jc w:val="both"/>
      </w:pPr>
    </w:p>
    <w:p w:rsidR="00CF573F" w:rsidRDefault="003E60AC">
      <w:pPr>
        <w:ind w:left="4956"/>
        <w:jc w:val="both"/>
      </w:pPr>
      <w:r>
        <w:t>Председателю Совета депутатов</w:t>
      </w:r>
    </w:p>
    <w:p w:rsidR="00CF573F" w:rsidRDefault="003E60AC">
      <w:pPr>
        <w:ind w:left="4956"/>
        <w:jc w:val="both"/>
      </w:pPr>
      <w:r>
        <w:t>Сергиево-Посадского городского округа</w:t>
      </w:r>
    </w:p>
    <w:p w:rsidR="00CF573F" w:rsidRDefault="003E60AC">
      <w:pPr>
        <w:ind w:left="4956"/>
        <w:jc w:val="both"/>
      </w:pPr>
      <w:proofErr w:type="spellStart"/>
      <w:r>
        <w:t>Р.Г.Тихомировой</w:t>
      </w:r>
      <w:proofErr w:type="spellEnd"/>
    </w:p>
    <w:p w:rsidR="00CF573F" w:rsidRDefault="00CF573F">
      <w:pPr>
        <w:ind w:left="4956"/>
        <w:jc w:val="both"/>
      </w:pPr>
    </w:p>
    <w:p w:rsidR="00CF573F" w:rsidRDefault="00CF573F">
      <w:pPr>
        <w:jc w:val="both"/>
      </w:pPr>
    </w:p>
    <w:p w:rsidR="00CF573F" w:rsidRDefault="003E60AC">
      <w:pPr>
        <w:jc w:val="both"/>
      </w:pPr>
      <w:r>
        <w:t xml:space="preserve">Об исполнении бюджета </w:t>
      </w:r>
    </w:p>
    <w:p w:rsidR="00CF573F" w:rsidRDefault="003E60AC">
      <w:pPr>
        <w:jc w:val="both"/>
      </w:pPr>
      <w:r>
        <w:t xml:space="preserve">городского поселения </w:t>
      </w:r>
    </w:p>
    <w:p w:rsidR="00CF573F" w:rsidRDefault="003E60AC">
      <w:pPr>
        <w:jc w:val="both"/>
      </w:pPr>
      <w:r>
        <w:t>Сергиев Посад за 2019 год</w:t>
      </w:r>
    </w:p>
    <w:p w:rsidR="00CF573F" w:rsidRDefault="00CF573F">
      <w:pPr>
        <w:jc w:val="both"/>
      </w:pPr>
    </w:p>
    <w:p w:rsidR="00CF573F" w:rsidRDefault="00CF573F">
      <w:pPr>
        <w:jc w:val="both"/>
        <w:rPr>
          <w:b/>
          <w:sz w:val="28"/>
          <w:szCs w:val="28"/>
        </w:rPr>
      </w:pPr>
    </w:p>
    <w:p w:rsidR="00CF573F" w:rsidRDefault="003E60AC" w:rsidP="001C67BE">
      <w:pPr>
        <w:ind w:left="3540" w:firstLine="708"/>
        <w:rPr>
          <w:b/>
        </w:rPr>
      </w:pPr>
      <w:r>
        <w:rPr>
          <w:b/>
        </w:rPr>
        <w:t>Заключение</w:t>
      </w:r>
    </w:p>
    <w:p w:rsidR="00CF573F" w:rsidRDefault="003E60AC" w:rsidP="001C67BE">
      <w:pPr>
        <w:jc w:val="center"/>
        <w:rPr>
          <w:b/>
        </w:rPr>
      </w:pPr>
      <w:r>
        <w:rPr>
          <w:b/>
        </w:rPr>
        <w:t>Контрольно-счетной палаты Сергиево-Посадского городского округа</w:t>
      </w:r>
    </w:p>
    <w:p w:rsidR="00CF573F" w:rsidRDefault="003E60AC" w:rsidP="001C67BE">
      <w:pPr>
        <w:jc w:val="center"/>
      </w:pPr>
      <w:r>
        <w:rPr>
          <w:b/>
        </w:rPr>
        <w:t xml:space="preserve">к проекту </w:t>
      </w:r>
      <w:proofErr w:type="gramStart"/>
      <w:r>
        <w:rPr>
          <w:b/>
        </w:rPr>
        <w:t>решения Совета депутатов городского поселения Сергиев</w:t>
      </w:r>
      <w:proofErr w:type="gramEnd"/>
      <w:r>
        <w:rPr>
          <w:b/>
        </w:rPr>
        <w:t xml:space="preserve"> Посад                  «О принятии муниципального правового акта </w:t>
      </w:r>
      <w:r>
        <w:rPr>
          <w:b/>
        </w:rPr>
        <w:t>«Об исполнении бюджета городского поселения Сергиев Посад за 2019 год»</w:t>
      </w:r>
    </w:p>
    <w:p w:rsidR="00CF573F" w:rsidRDefault="00CF573F">
      <w:pPr>
        <w:jc w:val="both"/>
        <w:rPr>
          <w:b/>
        </w:rPr>
      </w:pPr>
      <w:bookmarkStart w:id="0" w:name="_GoBack"/>
      <w:bookmarkEnd w:id="0"/>
    </w:p>
    <w:p w:rsidR="00CF573F" w:rsidRDefault="003E60AC">
      <w:pPr>
        <w:jc w:val="both"/>
      </w:pPr>
      <w:r>
        <w:tab/>
        <w:t>Основание для проведения экспертно-аналитического мероприятия: план работы Контрольно-счетной палаты Сергиево-Посадского городского округа Московской области (далее Контрольно-счетная</w:t>
      </w:r>
      <w:r>
        <w:t xml:space="preserve"> палата, КСП) на 2020 год, утвержденный распоряжением Председателя Контрольно-счетной палаты от 27.12.2019г. № 90/19 (пункт 1.5 плана); </w:t>
      </w:r>
      <w:proofErr w:type="gramStart"/>
      <w:r>
        <w:t>Соглашение № 06 от 17.12.2018г. «О передаче Контрольно-счетной комиссии Сергиево-Посадского муниципального района полном</w:t>
      </w:r>
      <w:r>
        <w:t>очий Контрольно-счетного органа городского поселения Сергиев Посад Сергиево-Посадского муниципального района по осуществлению внешнего муниципального финансового контроля на 2019 год» (далее – Соглашение), заключенное в соответствии с Решением Совета депут</w:t>
      </w:r>
      <w:r>
        <w:t>атов городского поселения Сергиев Посад Сергиево-Посадского района Московской области от 22.11.2018 № 4-16/149-ГС;</w:t>
      </w:r>
      <w:proofErr w:type="gramEnd"/>
      <w:r>
        <w:t xml:space="preserve"> </w:t>
      </w:r>
      <w:proofErr w:type="gramStart"/>
      <w:r>
        <w:t>Решение Совета депутатов Сергиево-Посадского муниципального района Московской области от 29.11.2018 № 45/09 «О заключении соглашения о переда</w:t>
      </w:r>
      <w:r>
        <w:t>че Контрольно-счетной комиссии Сергиево-Посадского муниципального района Московской области полномочий Контрольно-счетного органа городского поселения Сергиев Посад Сергиево-Посадского муниципального района по осуществлению внешнего муниципального финансов</w:t>
      </w:r>
      <w:r>
        <w:t xml:space="preserve">ого контроля на 2019 год»; распоряжение Председателя </w:t>
      </w:r>
      <w:r>
        <w:lastRenderedPageBreak/>
        <w:t>Контрольно-счетной палаты № 13/20-РП от 19.03.2020г. «О проведении экспертно-аналитических мероприятий».</w:t>
      </w:r>
      <w:proofErr w:type="gramEnd"/>
    </w:p>
    <w:p w:rsidR="00CF573F" w:rsidRDefault="003E60AC">
      <w:pPr>
        <w:ind w:firstLine="708"/>
        <w:jc w:val="both"/>
      </w:pPr>
      <w:r>
        <w:t>Предмет экспертно-аналитического мероприятия:</w:t>
      </w:r>
    </w:p>
    <w:p w:rsidR="00CF573F" w:rsidRDefault="003E60AC">
      <w:pPr>
        <w:ind w:firstLine="708"/>
        <w:jc w:val="both"/>
      </w:pPr>
      <w:r>
        <w:t>- отчет об исполнении бюджета городского поселения С</w:t>
      </w:r>
      <w:r>
        <w:t>ергиев Посад за 2019 год;</w:t>
      </w:r>
    </w:p>
    <w:p w:rsidR="00CF573F" w:rsidRDefault="003E60AC">
      <w:pPr>
        <w:ind w:firstLine="708"/>
        <w:jc w:val="both"/>
      </w:pPr>
      <w:r>
        <w:t>- годовая бюджетная отчетность городского поселения Сергиев Посад.</w:t>
      </w:r>
    </w:p>
    <w:p w:rsidR="00CF573F" w:rsidRDefault="003E60AC">
      <w:pPr>
        <w:ind w:firstLine="708"/>
        <w:jc w:val="both"/>
      </w:pPr>
      <w:r>
        <w:t>Проверяемый объект: Администрация Сергиево-Посадского городского округа Московской области (бюджет городского поселения Сергиев Посад).</w:t>
      </w:r>
    </w:p>
    <w:p w:rsidR="00CF573F" w:rsidRDefault="003E60AC">
      <w:pPr>
        <w:ind w:firstLine="708"/>
        <w:jc w:val="both"/>
      </w:pPr>
      <w:r>
        <w:t>Цель экспертно-аналитическо</w:t>
      </w:r>
      <w:r>
        <w:t>го мероприятия:</w:t>
      </w:r>
    </w:p>
    <w:p w:rsidR="00CF573F" w:rsidRDefault="003E60AC">
      <w:pPr>
        <w:ind w:firstLine="708"/>
        <w:jc w:val="both"/>
      </w:pPr>
      <w:r>
        <w:t>- установление соответствия годового отчета требованиям бюджетного законодательства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</w:t>
      </w:r>
      <w:r>
        <w:t xml:space="preserve"> утвержденной приказом Министерства финансов Российской Федерации от 28 декабря 2010 года № 191н (далее – Инструкция № 191н);</w:t>
      </w:r>
    </w:p>
    <w:p w:rsidR="00CF573F" w:rsidRDefault="003E60AC">
      <w:pPr>
        <w:ind w:firstLine="708"/>
        <w:jc w:val="both"/>
      </w:pPr>
      <w:r>
        <w:t>- оценка полноты исполнения бюджета по объему и структуре доходов, расходных обязательств бюджета;</w:t>
      </w:r>
    </w:p>
    <w:p w:rsidR="00CF573F" w:rsidRDefault="003E60AC">
      <w:pPr>
        <w:ind w:firstLine="708"/>
        <w:jc w:val="both"/>
      </w:pPr>
      <w:r>
        <w:t>- выявление случаев нарушения б</w:t>
      </w:r>
      <w:r>
        <w:t>юджетного законодательства в ходе исполнения бюджета, анализ выявленных отклонений и нарушений.</w:t>
      </w:r>
    </w:p>
    <w:p w:rsidR="00CF573F" w:rsidRDefault="00CF573F">
      <w:pPr>
        <w:jc w:val="both"/>
      </w:pPr>
    </w:p>
    <w:p w:rsidR="00CF573F" w:rsidRDefault="003E60AC">
      <w:pPr>
        <w:ind w:left="720"/>
        <w:jc w:val="center"/>
        <w:rPr>
          <w:b/>
        </w:rPr>
      </w:pPr>
      <w:r>
        <w:rPr>
          <w:b/>
        </w:rPr>
        <w:t>Общие положения.</w:t>
      </w:r>
    </w:p>
    <w:p w:rsidR="00CF573F" w:rsidRDefault="00CF573F">
      <w:pPr>
        <w:ind w:left="360"/>
        <w:jc w:val="both"/>
        <w:rPr>
          <w:b/>
          <w:highlight w:val="yellow"/>
        </w:rPr>
      </w:pPr>
    </w:p>
    <w:p w:rsidR="00CF573F" w:rsidRDefault="003E60AC">
      <w:pPr>
        <w:jc w:val="both"/>
      </w:pPr>
      <w:r>
        <w:tab/>
        <w:t>В соответствии с п. 1 ст. 264.4 Бюджетного кодекса Российской Федерации внешняя проверка годового отчета включает внешнюю проверку бюджетной</w:t>
      </w:r>
      <w:r>
        <w:t xml:space="preserve"> отчетности главных администраторов бюджетных средств и подготовку заключения на годовой отчет об исполнении бюджета. </w:t>
      </w:r>
      <w:proofErr w:type="gramStart"/>
      <w:r>
        <w:t>Заключение на отчет об исполнении бюджета городского поселения Сергиев Посад подготовлено в соответствии с требованиями ст.264.4.Бюджетног</w:t>
      </w:r>
      <w:r>
        <w:t>о Кодекса Российской Федерации о внешней проверке годового отчета об исполнении бюджета и ст.27 «Положения о бюджетном процессе в городском поселении Сергиев Посад», принятым Решением Совета депутатов городского поселения Сергиев Посад 09.11.2017 года № 4-</w:t>
      </w:r>
      <w:r>
        <w:t>03/22-ГС.</w:t>
      </w:r>
      <w:proofErr w:type="gramEnd"/>
    </w:p>
    <w:p w:rsidR="00CF573F" w:rsidRDefault="003E60AC">
      <w:pPr>
        <w:jc w:val="both"/>
      </w:pPr>
      <w:r>
        <w:tab/>
        <w:t>Проверка бюджетной отчетности ГАБС включала изучение на основе контрольных соотношений между показателями форм бюджетной отчетности доказательств, подтверждающих числовые показатели в бюджетной отчетности и раскрытие в ней информации о финансово</w:t>
      </w:r>
      <w:r>
        <w:t>-хозяйственной деятельности, оценку соблюдения принципов и правил бюджетного учета, применяемых при составлении бюджетной отчетности.</w:t>
      </w:r>
    </w:p>
    <w:p w:rsidR="00CF573F" w:rsidRDefault="003E60AC">
      <w:pPr>
        <w:jc w:val="both"/>
      </w:pPr>
      <w:r>
        <w:tab/>
        <w:t>Целью подготовки заключения является определение полноты исполнения бюджета по объему и структуре доходов, своевременност</w:t>
      </w:r>
      <w:r>
        <w:t xml:space="preserve">и и полноты исполнения расходных обязательств бюджета по сравнению с показателями, утвержденными решением о бюджете городского поселения Сергиев Посад. Привлечение и погашение </w:t>
      </w:r>
      <w:proofErr w:type="gramStart"/>
      <w:r>
        <w:t>источников финансирования дефицита бюджета городского поселения Сергиев</w:t>
      </w:r>
      <w:proofErr w:type="gramEnd"/>
      <w:r>
        <w:t xml:space="preserve"> Посад. У</w:t>
      </w:r>
      <w:r>
        <w:t>становление законности, целевого назначения и эффективности использования средств бюджета. Оценка соответствия местного бюджета принципам открытости, гласности и социальной направленности.</w:t>
      </w:r>
    </w:p>
    <w:p w:rsidR="00CF573F" w:rsidRDefault="003E60AC">
      <w:pPr>
        <w:jc w:val="both"/>
      </w:pPr>
      <w:r>
        <w:tab/>
        <w:t>Отчет об исполнении бюджета за 2019 год представлен в Контрольно-с</w:t>
      </w:r>
      <w:r>
        <w:t>четную палату Сергиево-Посадского городского округа 19.03.2020г., что соответствует пункту 3 статьи 264.4.БК РФ и пункту 3 статьи 27 «Положения о бюджетном процессе в городском поселении Сергиев Посад».</w:t>
      </w:r>
    </w:p>
    <w:p w:rsidR="00CF573F" w:rsidRDefault="003E60AC">
      <w:pPr>
        <w:ind w:firstLine="708"/>
        <w:jc w:val="both"/>
      </w:pPr>
      <w:r>
        <w:t>Документы предоставлены в следующем составе:</w:t>
      </w:r>
    </w:p>
    <w:p w:rsidR="00CF573F" w:rsidRDefault="003E60AC">
      <w:pPr>
        <w:ind w:firstLine="708"/>
        <w:jc w:val="both"/>
      </w:pPr>
      <w:r>
        <w:t>- поясни</w:t>
      </w:r>
      <w:r>
        <w:t>тельная записка к проекту муниципального правового акта «Об исполнении бюджета городского поселения Сергиев Посад за 2019 год»;</w:t>
      </w:r>
    </w:p>
    <w:p w:rsidR="00CF573F" w:rsidRDefault="003E60AC">
      <w:pPr>
        <w:ind w:firstLine="708"/>
        <w:jc w:val="both"/>
      </w:pPr>
      <w:r>
        <w:t>- приложение № 1 «Исполнение бюджета городского поселения Сергиев Посад по доходам за 2019 год»;</w:t>
      </w:r>
    </w:p>
    <w:p w:rsidR="00CF573F" w:rsidRDefault="003E60AC">
      <w:pPr>
        <w:ind w:firstLine="708"/>
        <w:jc w:val="both"/>
      </w:pPr>
      <w:r>
        <w:lastRenderedPageBreak/>
        <w:t>- приложение № 2 «Расходы бюдже</w:t>
      </w:r>
      <w:r>
        <w:t>та городского поселения Сергиев Посад за 2019 год по разделам, подразделам, целевым статьям (муниципальным программам городского поселения Сергиев Посад и непрограммным направлениям деятельности), группам (группам и подгруппам) видов расходов классификации</w:t>
      </w:r>
      <w:r>
        <w:t xml:space="preserve"> расходов бюджетов»;</w:t>
      </w:r>
    </w:p>
    <w:p w:rsidR="00CF573F" w:rsidRDefault="003E60AC">
      <w:pPr>
        <w:ind w:firstLine="708"/>
        <w:jc w:val="both"/>
      </w:pPr>
      <w:r>
        <w:t>- приложение № 3 «Расходы бюджета городского поселения Сергиев Посад за 2019 по ведомственной структуре расходов бюджета городского поселения Сергиев Посад»;</w:t>
      </w:r>
    </w:p>
    <w:p w:rsidR="00CF573F" w:rsidRDefault="003E60AC">
      <w:pPr>
        <w:ind w:firstLine="708"/>
        <w:jc w:val="both"/>
      </w:pPr>
      <w:r>
        <w:t xml:space="preserve">- приложение № 4 «Источники </w:t>
      </w:r>
      <w:proofErr w:type="gramStart"/>
      <w:r>
        <w:t>финансирования дефицита бюджета городского поселе</w:t>
      </w:r>
      <w:r>
        <w:t>ния Сергиев</w:t>
      </w:r>
      <w:proofErr w:type="gramEnd"/>
      <w:r>
        <w:t xml:space="preserve"> Посад за 2019 год по кодам классификации источников финансирования дефицитов бюджетов»;</w:t>
      </w:r>
    </w:p>
    <w:p w:rsidR="00CF573F" w:rsidRDefault="003E60AC">
      <w:pPr>
        <w:ind w:firstLine="708"/>
        <w:jc w:val="both"/>
      </w:pPr>
      <w:r>
        <w:t>- приложение № 5 «Выполнение программы муниципальных внутренних заимствований городского поселения Сергиев Посад за 2019 год»;</w:t>
      </w:r>
    </w:p>
    <w:p w:rsidR="00CF573F" w:rsidRDefault="003E60AC">
      <w:pPr>
        <w:ind w:firstLine="708"/>
        <w:jc w:val="both"/>
      </w:pPr>
      <w:r>
        <w:t xml:space="preserve">- приложение № 6 «Выполнение </w:t>
      </w:r>
      <w:r>
        <w:t>программы муниципальных гарантий городским поселением Сергиев Посад за 2019 год»;</w:t>
      </w:r>
    </w:p>
    <w:p w:rsidR="00CF573F" w:rsidRDefault="003E60AC">
      <w:pPr>
        <w:ind w:firstLine="708"/>
        <w:jc w:val="both"/>
      </w:pPr>
      <w:r>
        <w:t>- приложение 7 «Распределение бюджетных ассигнований по целевым статьям (муниципальным программам городского поселения Сергиев Посад и непрограммным направлениям деятельности</w:t>
      </w:r>
      <w:r>
        <w:t xml:space="preserve">), группам и подгруппам </w:t>
      </w:r>
      <w:proofErr w:type="gramStart"/>
      <w:r>
        <w:t>видов расходов классификации расходов бюджета городского поселения Сергиев</w:t>
      </w:r>
      <w:proofErr w:type="gramEnd"/>
      <w:r>
        <w:t xml:space="preserve"> Посад на 2019 год»;</w:t>
      </w:r>
    </w:p>
    <w:p w:rsidR="00CF573F" w:rsidRDefault="003E60AC">
      <w:pPr>
        <w:ind w:firstLine="708"/>
        <w:jc w:val="both"/>
      </w:pPr>
      <w:r>
        <w:t xml:space="preserve">- приложение 9 «Сведения о численности муниципальных служащих органов местного самоуправления и затрат на их денежное содержание за 2019 </w:t>
      </w:r>
      <w:r>
        <w:t>год»;</w:t>
      </w:r>
    </w:p>
    <w:p w:rsidR="00CF573F" w:rsidRDefault="003E60AC">
      <w:pPr>
        <w:ind w:firstLine="708"/>
        <w:jc w:val="both"/>
      </w:pPr>
      <w:r>
        <w:t>- бюджетная отчетность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городского поселен</w:t>
      </w:r>
      <w:r>
        <w:t>ия Сергиев Посад Сергиево-Посадского муниципального района Московской области.</w:t>
      </w:r>
    </w:p>
    <w:p w:rsidR="00CF573F" w:rsidRDefault="003E60AC">
      <w:pPr>
        <w:ind w:firstLine="708"/>
        <w:jc w:val="both"/>
      </w:pPr>
      <w:r>
        <w:t>Согласно требованиям ст.264.4 БК РФ бюджетная отчетность главных администраторов бюджетных сре</w:t>
      </w:r>
      <w:proofErr w:type="gramStart"/>
      <w:r>
        <w:t>дств пр</w:t>
      </w:r>
      <w:proofErr w:type="gramEnd"/>
      <w:r>
        <w:t>едставлена в адрес Контрольно-счетной комиссии в полном объеме.</w:t>
      </w:r>
    </w:p>
    <w:p w:rsidR="00CF573F" w:rsidRDefault="003E60AC">
      <w:pPr>
        <w:jc w:val="both"/>
        <w:rPr>
          <w:highlight w:val="yellow"/>
        </w:rPr>
      </w:pPr>
      <w:r>
        <w:tab/>
        <w:t>Одновременн</w:t>
      </w:r>
      <w:r>
        <w:t>о с отчетом представлены для изучения и анализа следующие документы:</w:t>
      </w:r>
    </w:p>
    <w:p w:rsidR="00CF573F" w:rsidRDefault="003E60AC">
      <w:pPr>
        <w:numPr>
          <w:ilvl w:val="0"/>
          <w:numId w:val="5"/>
        </w:numPr>
        <w:tabs>
          <w:tab w:val="clear" w:pos="720"/>
          <w:tab w:val="left" w:pos="0"/>
        </w:tabs>
        <w:ind w:left="0" w:firstLine="360"/>
        <w:jc w:val="both"/>
      </w:pPr>
      <w:r>
        <w:t>отчет об использовании бюджетных ассигнований резервного фонда Администрации Сергиево-Посадского муниципального района за счет средств городского поселения Сергиев Посад в 2019 году;</w:t>
      </w:r>
    </w:p>
    <w:p w:rsidR="00CF573F" w:rsidRDefault="003E60AC">
      <w:pPr>
        <w:numPr>
          <w:ilvl w:val="0"/>
          <w:numId w:val="5"/>
        </w:numPr>
        <w:tabs>
          <w:tab w:val="clear" w:pos="720"/>
          <w:tab w:val="left" w:pos="0"/>
        </w:tabs>
        <w:ind w:left="0" w:firstLine="360"/>
        <w:jc w:val="both"/>
      </w:pPr>
      <w:r>
        <w:t>свед</w:t>
      </w:r>
      <w:r>
        <w:t>ения об использовании бюджетных ассигнований муниципального дорожного фонда городского поселения Сергиев Посад за 2019год;</w:t>
      </w:r>
    </w:p>
    <w:p w:rsidR="00CF573F" w:rsidRDefault="003E60AC">
      <w:pPr>
        <w:numPr>
          <w:ilvl w:val="0"/>
          <w:numId w:val="5"/>
        </w:numPr>
        <w:jc w:val="both"/>
      </w:pPr>
      <w:r>
        <w:t>сведения о предоставлении и погашении бюджетных кредитов в 2019 году;</w:t>
      </w:r>
    </w:p>
    <w:p w:rsidR="00CF573F" w:rsidRDefault="003E60AC">
      <w:pPr>
        <w:numPr>
          <w:ilvl w:val="0"/>
          <w:numId w:val="5"/>
        </w:numPr>
        <w:tabs>
          <w:tab w:val="clear" w:pos="720"/>
          <w:tab w:val="left" w:pos="0"/>
        </w:tabs>
        <w:ind w:left="0" w:firstLine="360"/>
        <w:jc w:val="both"/>
      </w:pPr>
      <w:r>
        <w:t xml:space="preserve">сведения о предоставлении муниципальных гарантий в 2019 году </w:t>
      </w:r>
      <w:r>
        <w:t>городским поселением Сергиев Посад;</w:t>
      </w:r>
    </w:p>
    <w:p w:rsidR="00CF573F" w:rsidRDefault="003E60AC">
      <w:pPr>
        <w:numPr>
          <w:ilvl w:val="0"/>
          <w:numId w:val="5"/>
        </w:numPr>
        <w:ind w:left="0" w:firstLine="426"/>
        <w:jc w:val="both"/>
      </w:pPr>
      <w:r>
        <w:t>сведения о муниципальных заимствованиях по видам заимствований в 2019 году;</w:t>
      </w:r>
    </w:p>
    <w:p w:rsidR="00CF573F" w:rsidRDefault="003E60AC">
      <w:pPr>
        <w:numPr>
          <w:ilvl w:val="0"/>
          <w:numId w:val="5"/>
        </w:numPr>
        <w:tabs>
          <w:tab w:val="clear" w:pos="720"/>
          <w:tab w:val="left" w:pos="0"/>
        </w:tabs>
        <w:ind w:left="0" w:firstLine="426"/>
        <w:jc w:val="both"/>
      </w:pPr>
      <w:r>
        <w:t>сведения о доходах, полученных в 2019 году от использования муниципального имущества;</w:t>
      </w:r>
    </w:p>
    <w:p w:rsidR="00CF573F" w:rsidRDefault="003E60AC">
      <w:pPr>
        <w:numPr>
          <w:ilvl w:val="0"/>
          <w:numId w:val="5"/>
        </w:numPr>
        <w:tabs>
          <w:tab w:val="clear" w:pos="720"/>
          <w:tab w:val="left" w:pos="0"/>
        </w:tabs>
        <w:ind w:left="0" w:firstLine="360"/>
        <w:jc w:val="both"/>
      </w:pPr>
      <w:r>
        <w:t>сводный отчет смет расходов казенных учреждений по главном</w:t>
      </w:r>
      <w:r>
        <w:t>у распорядителю – администрации Сергиево-Посадского муниципального района Московской области за 2019 год;</w:t>
      </w:r>
    </w:p>
    <w:p w:rsidR="00CF573F" w:rsidRDefault="003E60AC">
      <w:pPr>
        <w:numPr>
          <w:ilvl w:val="0"/>
          <w:numId w:val="5"/>
        </w:numPr>
        <w:tabs>
          <w:tab w:val="clear" w:pos="720"/>
          <w:tab w:val="left" w:pos="0"/>
        </w:tabs>
        <w:ind w:left="0" w:firstLine="360"/>
        <w:jc w:val="both"/>
      </w:pPr>
      <w:r>
        <w:t>справка о дебиторской задолженности получателей бюджета городского поселения Сергиев Посад по состоянию на 1 января 2020 года;</w:t>
      </w:r>
    </w:p>
    <w:p w:rsidR="00CF573F" w:rsidRDefault="003E60AC">
      <w:pPr>
        <w:numPr>
          <w:ilvl w:val="0"/>
          <w:numId w:val="5"/>
        </w:numPr>
        <w:tabs>
          <w:tab w:val="clear" w:pos="720"/>
          <w:tab w:val="left" w:pos="0"/>
        </w:tabs>
        <w:ind w:left="0" w:firstLine="360"/>
        <w:jc w:val="both"/>
      </w:pPr>
      <w:r>
        <w:t xml:space="preserve">справка о кредиторской </w:t>
      </w:r>
      <w:r>
        <w:t>задолженности получателей бюджета городского поселения Сергиев Посад по состоянию на 1 января 2020 года;</w:t>
      </w:r>
    </w:p>
    <w:p w:rsidR="00CF573F" w:rsidRDefault="003E60AC">
      <w:pPr>
        <w:jc w:val="both"/>
      </w:pPr>
      <w:r>
        <w:tab/>
        <w:t>Заключение подготовлено на основании внешней проверки отчета об исполнении бюджета городского поселения Сергиев Посад за 2019 год.</w:t>
      </w:r>
    </w:p>
    <w:p w:rsidR="00CF573F" w:rsidRDefault="00CF573F">
      <w:pPr>
        <w:jc w:val="both"/>
      </w:pPr>
    </w:p>
    <w:p w:rsidR="00CF573F" w:rsidRDefault="00CF573F">
      <w:pPr>
        <w:jc w:val="both"/>
      </w:pPr>
    </w:p>
    <w:p w:rsidR="00CF573F" w:rsidRDefault="00CF573F">
      <w:pPr>
        <w:jc w:val="both"/>
      </w:pPr>
    </w:p>
    <w:p w:rsidR="00CF573F" w:rsidRDefault="003E60AC">
      <w:pPr>
        <w:jc w:val="center"/>
      </w:pPr>
      <w:r>
        <w:rPr>
          <w:b/>
        </w:rPr>
        <w:lastRenderedPageBreak/>
        <w:t>Соблюдение бюдже</w:t>
      </w:r>
      <w:r>
        <w:rPr>
          <w:b/>
        </w:rPr>
        <w:t>тного законодательства при организации бюджетного процесса.</w:t>
      </w:r>
    </w:p>
    <w:p w:rsidR="00CF573F" w:rsidRDefault="00CF573F">
      <w:pPr>
        <w:jc w:val="center"/>
        <w:rPr>
          <w:b/>
        </w:rPr>
      </w:pPr>
    </w:p>
    <w:p w:rsidR="00CF573F" w:rsidRDefault="003E60AC">
      <w:pPr>
        <w:ind w:firstLine="708"/>
        <w:jc w:val="both"/>
      </w:pPr>
      <w:r>
        <w:t>В течение 2019 года в городском поселении Сергиев Посад Сергиево-Посадского муниципального района Московской области бюджетный процесс основывался на положениях Бюджетного кодекса Российской Феде</w:t>
      </w:r>
      <w:r>
        <w:t>рации, Положении о бюджетном процессе в городском поселении Сергиев Посад, Устава муниципального образования городское поселение Сергиев Посад Сергиево-Посадского муниципального района Московской области и других нормативных правовых актах. Бюджет городско</w:t>
      </w:r>
      <w:r>
        <w:t>го поселения Сергиев Посад на 2019 год утвержден Решением Совета депутатов городского поселения Сергиев Посад от 20.12.2018 № 4-17/153-ГС. Бюджет утвержден до начала очередного финансового года, то есть в соответствии с требованиями бюджетного законодатель</w:t>
      </w:r>
      <w:r>
        <w:t>ства.</w:t>
      </w:r>
    </w:p>
    <w:p w:rsidR="00CF573F" w:rsidRDefault="003E60AC">
      <w:pPr>
        <w:ind w:firstLine="708"/>
        <w:jc w:val="both"/>
      </w:pPr>
      <w:r>
        <w:t>Решением Совета депутатов городского поселения Сергиев Посад от 20.12.2018 № 4-17/153-ГС «О бюджете городского поселения Сергиев Посад на 2019г.» - утвержден главный администратор доходов бюджета и главный распорядитель бюджетных средств городского п</w:t>
      </w:r>
      <w:r>
        <w:t>оселения Сергиев Посад Сергиево-Посадского муниципального района Московской области – Администрация Сергиево-Посадского муниципального района и Финансовое управление администрации Сергиево-Посадского муниципального района.</w:t>
      </w:r>
    </w:p>
    <w:p w:rsidR="00CF573F" w:rsidRDefault="00CF573F">
      <w:pPr>
        <w:jc w:val="both"/>
      </w:pPr>
    </w:p>
    <w:p w:rsidR="00CF573F" w:rsidRDefault="003E60AC">
      <w:pPr>
        <w:jc w:val="center"/>
      </w:pPr>
      <w:r>
        <w:rPr>
          <w:b/>
        </w:rPr>
        <w:t xml:space="preserve">Общая характеристика исполнения </w:t>
      </w:r>
      <w:r>
        <w:rPr>
          <w:b/>
        </w:rPr>
        <w:t>бюджета за 2019 год.</w:t>
      </w:r>
    </w:p>
    <w:p w:rsidR="00CF573F" w:rsidRDefault="00CF573F">
      <w:pPr>
        <w:jc w:val="both"/>
      </w:pPr>
    </w:p>
    <w:p w:rsidR="00CF573F" w:rsidRDefault="003E60AC">
      <w:pPr>
        <w:ind w:firstLine="708"/>
        <w:jc w:val="both"/>
      </w:pPr>
      <w:r>
        <w:t>Внешняя проверка отчета об исполнении бюджета проведена в соответствии с требованиями статей 157 и 264.4 Бюджетного кодекса Российской Федерации и Распоряжения КСП от 29.10.2019 № 71/19-РА «Об утверждении стандарта внешнего муниципаль</w:t>
      </w:r>
      <w:r>
        <w:t>ного контроля «Организация и проведение внешней проверки годового отчета об исполнении местного бюджета». Отчет об исполнении бюджета составлен в соответствии с той же структурой и бюджетной классификацией, который применялся при утверждении бюджета.</w:t>
      </w:r>
    </w:p>
    <w:p w:rsidR="00CF573F" w:rsidRDefault="003E60AC">
      <w:pPr>
        <w:jc w:val="both"/>
      </w:pPr>
      <w:r>
        <w:tab/>
      </w:r>
      <w:r>
        <w:t xml:space="preserve">Первоначально бюджет городского поселения Сергиев Посад утвержден по доходам в сумме 846 765,6 тыс. рублей, расходам в сумме 914 695,64 тыс. рублей. </w:t>
      </w:r>
      <w:proofErr w:type="gramStart"/>
      <w:r>
        <w:t>В течение 2019 года в утвержденный бюджет изменения вносились 7 раз (Решения Совета депутатов городского по</w:t>
      </w:r>
      <w:r>
        <w:t>селения Сергиев Посад от 27.02.2019 № 4-19/162-ГС; от 25.04.2019 № 4-20/178-ГС; от 20.06.2019 № 4-22/191-ГС; от 28.08.2019 № 4-23/196-ГС; от 03.10.2019 №03/02-МЗ; от 05.12.2019 № 12/01-МЗ; от 26.12.2019 № 14/02-МЗ (приложение 1).</w:t>
      </w:r>
      <w:proofErr w:type="gramEnd"/>
    </w:p>
    <w:p w:rsidR="00CF573F" w:rsidRDefault="003E60AC">
      <w:pPr>
        <w:ind w:firstLine="708"/>
        <w:jc w:val="both"/>
      </w:pPr>
      <w:r>
        <w:t>В результате изменений и д</w:t>
      </w:r>
      <w:r>
        <w:t>ополнений, бюджетные назначения городского поселения Сергиев Посад на 2019 год были увеличены:</w:t>
      </w:r>
    </w:p>
    <w:p w:rsidR="00CF573F" w:rsidRDefault="003E60AC">
      <w:pPr>
        <w:ind w:firstLine="708"/>
        <w:jc w:val="both"/>
      </w:pPr>
      <w:r>
        <w:rPr>
          <w:b/>
        </w:rPr>
        <w:t xml:space="preserve">- </w:t>
      </w:r>
      <w:r>
        <w:t>по доходам на 49,55% или на общую сумму 419 652,1 тыс. рублей и составили 1 266 417,7 тыс. рублей;</w:t>
      </w:r>
    </w:p>
    <w:p w:rsidR="00CF573F" w:rsidRDefault="003E60AC">
      <w:pPr>
        <w:ind w:firstLine="708"/>
        <w:jc w:val="both"/>
      </w:pPr>
      <w:r>
        <w:rPr>
          <w:b/>
        </w:rPr>
        <w:t xml:space="preserve">- </w:t>
      </w:r>
      <w:r>
        <w:t xml:space="preserve">по расходам на 65,41% или на общую сумму 598 370,7 тыс. </w:t>
      </w:r>
      <w:r>
        <w:t>рублей и составили 1 513 066,3 тыс. рублей.</w:t>
      </w:r>
    </w:p>
    <w:p w:rsidR="00CF573F" w:rsidRDefault="003E60AC">
      <w:pPr>
        <w:ind w:firstLine="708"/>
        <w:jc w:val="both"/>
      </w:pPr>
      <w:r>
        <w:t>В соответствии с п. 3 ст. 92.1 Бюджетного кодекса Российской Федерации дефицит местного бюджета может превысить ограничения, установленные настоящим пунктом, в пределах сумм остатков средств на счетах по учету ср</w:t>
      </w:r>
      <w:r>
        <w:t>едств местного бюджета.</w:t>
      </w:r>
    </w:p>
    <w:p w:rsidR="00CF573F" w:rsidRDefault="003E60AC">
      <w:pPr>
        <w:ind w:firstLine="708"/>
        <w:jc w:val="both"/>
      </w:pPr>
      <w:r>
        <w:t>Бюджет городского поселения Сергиев Посад Сергиево-Посадского муниципального района Московской области на 01.01.2020 года исполнен со следующими показателями:</w:t>
      </w:r>
    </w:p>
    <w:p w:rsidR="00CF573F" w:rsidRDefault="003E60AC">
      <w:pPr>
        <w:ind w:firstLine="708"/>
        <w:jc w:val="both"/>
      </w:pPr>
      <w:r>
        <w:t>доходы в размере – 1 169 467,2 тыс. рублей или 92,3% к утвержденным назна</w:t>
      </w:r>
      <w:r>
        <w:t>чениям;</w:t>
      </w:r>
    </w:p>
    <w:p w:rsidR="00CF573F" w:rsidRDefault="003E60AC">
      <w:pPr>
        <w:ind w:firstLine="708"/>
        <w:jc w:val="both"/>
      </w:pPr>
      <w:r>
        <w:t>расходы в размере – 1 379 850,7 тыс. рублей или 91,2% к утвержденным назначениям;</w:t>
      </w:r>
    </w:p>
    <w:p w:rsidR="00CF573F" w:rsidRDefault="003E60AC">
      <w:pPr>
        <w:ind w:firstLine="708"/>
        <w:jc w:val="both"/>
      </w:pPr>
      <w:r>
        <w:t>бюджет исполнен с дефицитом – 210 384,3 тыс. рублей, при плановом дефиците в размере 246 648,6 тыс. рублей.</w:t>
      </w:r>
    </w:p>
    <w:p w:rsidR="00CF573F" w:rsidRDefault="00CF573F">
      <w:pPr>
        <w:ind w:firstLine="708"/>
        <w:jc w:val="both"/>
      </w:pPr>
    </w:p>
    <w:p w:rsidR="00CF573F" w:rsidRDefault="003E60AC">
      <w:pPr>
        <w:jc w:val="center"/>
        <w:rPr>
          <w:b/>
        </w:rPr>
      </w:pPr>
      <w:r>
        <w:rPr>
          <w:b/>
        </w:rPr>
        <w:lastRenderedPageBreak/>
        <w:t>Доходы бюджета городского поселения Сергиев Посад.</w:t>
      </w:r>
    </w:p>
    <w:p w:rsidR="00CF573F" w:rsidRDefault="00CF573F">
      <w:pPr>
        <w:jc w:val="both"/>
        <w:rPr>
          <w:b/>
          <w:highlight w:val="yellow"/>
        </w:rPr>
      </w:pPr>
    </w:p>
    <w:p w:rsidR="00CF573F" w:rsidRDefault="003E60AC">
      <w:pPr>
        <w:jc w:val="both"/>
        <w:rPr>
          <w:b/>
        </w:rPr>
      </w:pPr>
      <w:r>
        <w:rPr>
          <w:b/>
        </w:rPr>
        <w:tab/>
      </w:r>
      <w:proofErr w:type="gramStart"/>
      <w:r>
        <w:t>Испо</w:t>
      </w:r>
      <w:r>
        <w:t>лнение</w:t>
      </w:r>
      <w:r>
        <w:rPr>
          <w:b/>
        </w:rPr>
        <w:t xml:space="preserve"> </w:t>
      </w:r>
      <w:r>
        <w:t>доходной части бюджета городского поселения Сергиев Посад за 2019 год составило 1 169 467,2 тыс. рублей или 92,3% от уточненного плана (1 266 417,7 тыс. рублей.</w:t>
      </w:r>
      <w:proofErr w:type="gramEnd"/>
    </w:p>
    <w:p w:rsidR="00CF573F" w:rsidRDefault="003E60AC">
      <w:pPr>
        <w:jc w:val="both"/>
      </w:pPr>
      <w:r>
        <w:tab/>
        <w:t>В структуре доходов налоговые и неналоговые доходы составляют 72,76% от общего объема п</w:t>
      </w:r>
      <w:r>
        <w:t>олученных доходов в 2019 году. Фактически исполнено 850 886,1 тыс. рублей или 100,6% от уточненного плана поступлений (845 579,6 тыс. рублей).</w:t>
      </w:r>
    </w:p>
    <w:p w:rsidR="00CF573F" w:rsidRDefault="003E60AC">
      <w:pPr>
        <w:jc w:val="both"/>
      </w:pPr>
      <w:r>
        <w:tab/>
        <w:t>Безвозмездные поступления от других бюджетов бюджетной системы РФ поступили в сумме 318 581,1 тыс. рублей или 75</w:t>
      </w:r>
      <w:r>
        <w:t>,7% от уточненного плана (420 838,1 тыс. рублей). Безвозмездные поступления составляют 27,24 от общего объема поступлений.</w:t>
      </w:r>
    </w:p>
    <w:p w:rsidR="00CF573F" w:rsidRDefault="003E60AC">
      <w:pPr>
        <w:jc w:val="both"/>
      </w:pPr>
      <w:r>
        <w:t>Информация о поступлении и исполнении целевых средств, полученных из бюджетов других уровней в виде субвенций, субсидий, иных межбюдж</w:t>
      </w:r>
      <w:r>
        <w:t>етных трансфертов отражена в Приложение № 4.</w:t>
      </w:r>
    </w:p>
    <w:p w:rsidR="00CF573F" w:rsidRDefault="003E60AC">
      <w:pPr>
        <w:jc w:val="both"/>
      </w:pPr>
      <w:r>
        <w:rPr>
          <w:b/>
        </w:rPr>
        <w:tab/>
      </w:r>
      <w:r>
        <w:t>Исполнение доходов 2019 года по сравнению с планом, приведено в таблице:</w:t>
      </w:r>
    </w:p>
    <w:p w:rsidR="00CF573F" w:rsidRDefault="003E60A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рублей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1379"/>
        <w:gridCol w:w="1416"/>
        <w:gridCol w:w="1270"/>
        <w:gridCol w:w="1881"/>
        <w:gridCol w:w="1464"/>
      </w:tblGrid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Наименование доходных источников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Утверждено по бюджету на 2019 год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Уточненный план 2019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Исполнено за 2019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%</w:t>
            </w:r>
            <w:r>
              <w:t xml:space="preserve"> исполнения к первоначальному плану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%</w:t>
            </w:r>
          </w:p>
          <w:p w:rsidR="00CF573F" w:rsidRDefault="003E60AC">
            <w:pPr>
              <w:jc w:val="both"/>
            </w:pPr>
            <w:r>
              <w:t>исполнения к уточненному плану 2019 года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6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Налоговые и неналоговые доходы,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843 438,6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845 579,6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850 886,1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100,6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НАЛОГОВЫЕ доходы, 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712 838,9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723 891,4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735 451,0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  <w:rPr>
                <w:highlight w:val="yellow"/>
              </w:rPr>
            </w:pPr>
            <w:r>
              <w:t>103,2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  <w:rPr>
                <w:highlight w:val="yellow"/>
              </w:rPr>
            </w:pPr>
            <w:r>
              <w:t>101,6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466 173,0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475 173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482 690,3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103,5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101,6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20 090,0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20 090,0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20 336,9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101,2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132,0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131,5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65,75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99,6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48 820,0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62 920,0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63 738,2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130,6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101,3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177 405,9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165 576,4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168 554,1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95,0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101,8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150,0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0,0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НЕНАЛОГОВЫЕ доходы, 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  <w:rPr>
                <w:highlight w:val="yellow"/>
              </w:rPr>
            </w:pPr>
            <w:r>
              <w:t>130 599,7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  <w:rPr>
                <w:highlight w:val="yellow"/>
              </w:rPr>
            </w:pPr>
            <w:r>
              <w:t>121 688,2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115 435,1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88,4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94,9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Доходы, </w:t>
            </w:r>
            <w:r>
              <w:lastRenderedPageBreak/>
              <w:t>полученные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</w:t>
            </w:r>
            <w:r>
              <w:t>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lastRenderedPageBreak/>
              <w:t>52 000,0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52 000,0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48 754,0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93,8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93,8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lastRenderedPageBreak/>
              <w:t>Доходы от сдачи в аренду имущества, составляющие казну поселений (за исключением земельных участков)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20 301,7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20 301,7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19 496,4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96,0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96,0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Доходы от перечисления части прибыли </w:t>
            </w:r>
            <w:r>
              <w:t>государственных и муниципальных  унитарных предприятий, оставшейся после уплаты налогов и обязательных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8,2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41,0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100,0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Прочие поступления от использования имущества, находящегося в государственной муниципальной собственности (за </w:t>
            </w:r>
            <w:r>
              <w:t>исключением имущества муниципальных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27 372,6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23 372,6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21 825,1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79,73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93,4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1 521,0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1 520,4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100,0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Доходы от </w:t>
            </w:r>
            <w:r>
              <w:t>продажи квартир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500,0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500,0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319,4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63,88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63,9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lastRenderedPageBreak/>
              <w:t>Доходы от реализации имущества, находящегося в государственной и муниципальной собственност</w:t>
            </w:r>
            <w:proofErr w:type="gramStart"/>
            <w:r>
              <w:t>и(</w:t>
            </w:r>
            <w:proofErr w:type="gramEnd"/>
            <w:r>
              <w:t xml:space="preserve">за исключением имущества бюджетных и автономных учреждений также имущества государственных и муниципальных унитарных </w:t>
            </w:r>
            <w:r>
              <w:t>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20 000,0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10 135,0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9 446,9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47,23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93,2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</w:t>
            </w:r>
            <w:r>
              <w:t>государственных и муниципальных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9 000,0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9 000,0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9 005,8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100,1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1 447,8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1 457,1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В 14,48 раз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100,6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1 305,4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3 401,9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3 601,8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в 2,6 раз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105,9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Безвозмездные поступления, 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3 327,0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420 838,1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318 581,1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в 126,5 раз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75,7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Дотации бюджетам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3 327,0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5 624,0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5 624,0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169,0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100,0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Возврат остатков субсидий, субвенций и иных межбюджетных трансфертов, имеющих целевое </w:t>
            </w:r>
            <w:r>
              <w:t>назначение, прошлых лет из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- 2 076,5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lastRenderedPageBreak/>
              <w:t>Субсидии бюджетам муниципальных образований (межбюджетные субсидии)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409 189,1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309 045,7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75,7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6 025,0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5 987,1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99,4</w:t>
            </w: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 xml:space="preserve">Доходы бюджетам поселений от возврата </w:t>
            </w:r>
          </w:p>
          <w:p w:rsidR="00CF573F" w:rsidRDefault="003E60AC">
            <w:pPr>
              <w:jc w:val="both"/>
            </w:pPr>
            <w: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CF573F">
            <w:pPr>
              <w:snapToGrid w:val="0"/>
              <w:jc w:val="both"/>
            </w:pPr>
          </w:p>
        </w:tc>
      </w:tr>
      <w:tr w:rsidR="00CF573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ВСЕГО доходов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846 765,6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1 266 417,7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1 169 467,2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138,1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3F" w:rsidRDefault="003E60AC">
            <w:pPr>
              <w:jc w:val="both"/>
            </w:pPr>
            <w:r>
              <w:t>92,3</w:t>
            </w:r>
          </w:p>
        </w:tc>
      </w:tr>
    </w:tbl>
    <w:p w:rsidR="00CF573F" w:rsidRDefault="00CF573F">
      <w:pPr>
        <w:jc w:val="both"/>
      </w:pPr>
    </w:p>
    <w:p w:rsidR="00CF573F" w:rsidRDefault="003E60AC">
      <w:pPr>
        <w:jc w:val="both"/>
      </w:pPr>
      <w:r>
        <w:tab/>
        <w:t xml:space="preserve">Таким образом, по сравнению с первоначально </w:t>
      </w:r>
      <w:r>
        <w:t>утвержденными параметрами доходная часть бюджета в 2019 году выполнена на 138,31%, а по сравнению с уточненным планом на 92,3%.</w:t>
      </w:r>
    </w:p>
    <w:p w:rsidR="00CF573F" w:rsidRDefault="003E60AC">
      <w:pPr>
        <w:jc w:val="both"/>
      </w:pPr>
      <w:r>
        <w:rPr>
          <w:b/>
        </w:rPr>
        <w:tab/>
        <w:t>Налоговые доходы</w:t>
      </w:r>
      <w:r>
        <w:t xml:space="preserve"> за 2019 год поступили в сумме 735 451,0 тыс. рублей и составили 101,6% уточненных плановых назначений и доля н</w:t>
      </w:r>
      <w:r>
        <w:t>алоговых доходов составляет 62,89 процента от общих поступлений.</w:t>
      </w:r>
    </w:p>
    <w:p w:rsidR="00CF573F" w:rsidRDefault="003E60AC">
      <w:pPr>
        <w:jc w:val="both"/>
      </w:pPr>
      <w:r>
        <w:tab/>
        <w:t>Наибольший удельный вес в общей сумме налоговых доходов составляет налог на доходы физических лиц (65,63 % от общего объема налоговых доходов), который при уточненном плане 475 173,0 тыс. ру</w:t>
      </w:r>
      <w:r>
        <w:t>блей, выполнен в сумме 482 690,3 тыс. рублей или на 101,6%.</w:t>
      </w:r>
    </w:p>
    <w:p w:rsidR="00CF573F" w:rsidRDefault="003E60AC">
      <w:pPr>
        <w:ind w:firstLine="708"/>
        <w:jc w:val="both"/>
      </w:pPr>
      <w:r>
        <w:t>Одним из основных источников налоговых доходов в городском поселении Сергиев Посад является земельный налог</w:t>
      </w:r>
      <w:r>
        <w:rPr>
          <w:b/>
        </w:rPr>
        <w:t>,</w:t>
      </w:r>
      <w:r>
        <w:t xml:space="preserve"> который поступил в сумме 168 554,1 тыс. рублей или на 101,8% от уточненных плановых наз</w:t>
      </w:r>
      <w:r>
        <w:t>начений (уточненный план – 165 576,4 тыс. рублей) и составляет 22,92 процента от общих поступлений по налоговым доходам.</w:t>
      </w:r>
    </w:p>
    <w:p w:rsidR="00CF573F" w:rsidRDefault="003E60AC">
      <w:pPr>
        <w:jc w:val="both"/>
      </w:pPr>
      <w:r>
        <w:tab/>
        <w:t xml:space="preserve">Акцизы по подакцизным товарам (продукции), производимым на территории Российской Федерации поступили в сумме 20 336,9 тыс. рублей или </w:t>
      </w:r>
      <w:r>
        <w:t>на 101,2 % уточненных плановых назначений (уточненный план – 20 090,0 тыс. рублей). От общего объема налоговых доходов составляют 2,76 процента.</w:t>
      </w:r>
    </w:p>
    <w:p w:rsidR="00CF573F" w:rsidRDefault="003E60AC">
      <w:pPr>
        <w:jc w:val="both"/>
      </w:pPr>
      <w:r>
        <w:tab/>
        <w:t>Налог на имущество физических лиц выполнен в сумме 63 738,2 тыс. рублей или на 101,3% уточненных плановых назн</w:t>
      </w:r>
      <w:r>
        <w:t>ачений (уточненный план – 62 920,0 тыс. рублей) и составляет 8,7 процента от общего объема налоговых доходов.</w:t>
      </w:r>
    </w:p>
    <w:p w:rsidR="00CF573F" w:rsidRDefault="003E60AC">
      <w:pPr>
        <w:jc w:val="both"/>
      </w:pPr>
      <w:r>
        <w:tab/>
      </w:r>
      <w:r>
        <w:rPr>
          <w:b/>
        </w:rPr>
        <w:t xml:space="preserve">Неналоговые доходы - </w:t>
      </w:r>
      <w:r>
        <w:t>сфера исключительной ответственности городского поселения Сергиев Посад. Неналоговые доходы за 2019 год</w:t>
      </w:r>
      <w:r>
        <w:rPr>
          <w:b/>
        </w:rPr>
        <w:t xml:space="preserve"> </w:t>
      </w:r>
      <w:r>
        <w:t>поступили в сумме 11</w:t>
      </w:r>
      <w:r>
        <w:t>5 435,1 тыс. рублей и составили 94,9% уточненных плановых назначений, доля неналоговых доходов составляет 9,87 процентов от общих поступлений.</w:t>
      </w:r>
    </w:p>
    <w:p w:rsidR="00CF573F" w:rsidRDefault="003E60AC">
      <w:pPr>
        <w:jc w:val="both"/>
      </w:pPr>
      <w:r>
        <w:tab/>
        <w:t>Доходы, полученные в виде арендной платы за земельные участки, поступили в сумме 48 754,0 тыс. рублей и составил</w:t>
      </w:r>
      <w:r>
        <w:t>и 93,8% уточненных плановых поступлений.</w:t>
      </w:r>
    </w:p>
    <w:p w:rsidR="00CF573F" w:rsidRDefault="003E60AC">
      <w:pPr>
        <w:jc w:val="both"/>
      </w:pPr>
      <w:r>
        <w:lastRenderedPageBreak/>
        <w:tab/>
      </w:r>
      <w:proofErr w:type="gramStart"/>
      <w:r>
        <w:t>Доходы от сдачи в аренду имущества, составляющего казну поселения поступили в сумме 19 496,4 тыс. рублей или 96,0% к уточненному плату (уточненный план поступлений – 20 301,7 тыс. рублей.</w:t>
      </w:r>
      <w:proofErr w:type="gramEnd"/>
    </w:p>
    <w:p w:rsidR="00CF573F" w:rsidRDefault="003E60AC">
      <w:pPr>
        <w:jc w:val="both"/>
      </w:pPr>
      <w:r>
        <w:tab/>
        <w:t>Администрацией Сергиево-П</w:t>
      </w:r>
      <w:r>
        <w:t>осадского муниципального района с арендаторами, несвоевременно оплачивающими арендную плату, и организациями, заключившими ранее договора купли-продажи недвижимого имущества, ведется претензионная работа.</w:t>
      </w:r>
    </w:p>
    <w:p w:rsidR="00CF573F" w:rsidRDefault="003E60AC">
      <w:pPr>
        <w:jc w:val="both"/>
      </w:pPr>
      <w:r>
        <w:t xml:space="preserve"> </w:t>
      </w:r>
      <w:r>
        <w:tab/>
      </w:r>
      <w:proofErr w:type="gramStart"/>
      <w:r>
        <w:t xml:space="preserve">Доходы от продажи земельных участков поступили в </w:t>
      </w:r>
      <w:r>
        <w:t>сумме 9 005,8 тыс. рублей или 100,8% к уточненному плану (уточненный план поступлений – 9 000,0 тыс. рублей.</w:t>
      </w:r>
      <w:proofErr w:type="gramEnd"/>
    </w:p>
    <w:p w:rsidR="00CF573F" w:rsidRDefault="003E60AC">
      <w:pPr>
        <w:jc w:val="both"/>
      </w:pPr>
      <w:r>
        <w:tab/>
        <w:t>Доходы от реализации имущества, находящегося в муниципальной собственности поступили в сумме 9 446,9 тыс. рублей и составили 93,2% уточненных план</w:t>
      </w:r>
      <w:r>
        <w:t>овых поступлений.</w:t>
      </w:r>
    </w:p>
    <w:p w:rsidR="00CF573F" w:rsidRDefault="003E60AC">
      <w:pPr>
        <w:jc w:val="both"/>
      </w:pPr>
      <w:r>
        <w:tab/>
        <w:t xml:space="preserve">Прочие поступления от использования имущества, находящегося в муниципальной собственности (средства за </w:t>
      </w:r>
      <w:proofErr w:type="spellStart"/>
      <w:r>
        <w:t>найм</w:t>
      </w:r>
      <w:proofErr w:type="spellEnd"/>
      <w:r>
        <w:t>) поступили в отчетном периоде в размере 21 825, тыс. рублей, или 93,4% к уточненному плану.</w:t>
      </w:r>
    </w:p>
    <w:p w:rsidR="00CF573F" w:rsidRDefault="003E60AC">
      <w:pPr>
        <w:jc w:val="both"/>
      </w:pPr>
      <w:r>
        <w:tab/>
        <w:t xml:space="preserve">Прочие неналоговые доходы поступили </w:t>
      </w:r>
      <w:r>
        <w:t>в размере 3 601,8 тыс. рублей и составили 105,9 % к уточненному плану.</w:t>
      </w:r>
    </w:p>
    <w:p w:rsidR="00CF573F" w:rsidRDefault="003E60AC">
      <w:pPr>
        <w:ind w:firstLine="486"/>
        <w:jc w:val="both"/>
      </w:pPr>
      <w:r>
        <w:t>В целях увеличения доходной части бюджета поселения в 2018 году администрацией Сергиево-Посадского муниципального района проведены следующие мероприятия:</w:t>
      </w:r>
    </w:p>
    <w:p w:rsidR="00CF573F" w:rsidRDefault="003E60AC">
      <w:pPr>
        <w:numPr>
          <w:ilvl w:val="0"/>
          <w:numId w:val="3"/>
        </w:numPr>
        <w:tabs>
          <w:tab w:val="left" w:pos="0"/>
        </w:tabs>
        <w:ind w:left="0" w:firstLine="567"/>
        <w:jc w:val="both"/>
      </w:pPr>
      <w:r>
        <w:t xml:space="preserve"> проводился ежедневный монитори</w:t>
      </w:r>
      <w:r>
        <w:t>нг поступлений налоговых и неналоговых доходов в бюджет городского поселения Сергиев Посад;</w:t>
      </w:r>
    </w:p>
    <w:p w:rsidR="00CF573F" w:rsidRDefault="003E60AC">
      <w:pPr>
        <w:numPr>
          <w:ilvl w:val="0"/>
          <w:numId w:val="3"/>
        </w:numPr>
        <w:tabs>
          <w:tab w:val="left" w:pos="0"/>
        </w:tabs>
        <w:ind w:left="0" w:firstLine="567"/>
        <w:jc w:val="both"/>
      </w:pPr>
      <w:r>
        <w:t>в течение года принималось участие в работе  межведомственных комиссии ИФНС по городу Сергиеву Посаду по урегулированию задолженности юридических и физических лиц и</w:t>
      </w:r>
      <w:r>
        <w:t xml:space="preserve"> индивидуальных предпринимателей, проведены заседания, на которых рассматривалась задолженность в бюджеты всех уровней по организациям, индивидуальным предпринимателям и физическим лицам.</w:t>
      </w:r>
    </w:p>
    <w:p w:rsidR="00CF573F" w:rsidRDefault="003E60AC">
      <w:pPr>
        <w:tabs>
          <w:tab w:val="left" w:pos="0"/>
        </w:tabs>
        <w:jc w:val="both"/>
      </w:pPr>
      <w:r>
        <w:tab/>
      </w:r>
      <w:r>
        <w:rPr>
          <w:b/>
        </w:rPr>
        <w:t>Безвозмездные поступления</w:t>
      </w:r>
      <w:r>
        <w:t xml:space="preserve"> от других бюджетов в 2019 году поступили </w:t>
      </w:r>
      <w:r>
        <w:t>в сумме 318 581,1 тыс. рублей. Доля безвозмездных платежей в доходной части бюджета поселения составила 32,63 %.</w:t>
      </w:r>
    </w:p>
    <w:p w:rsidR="00CF573F" w:rsidRDefault="003E60AC">
      <w:pPr>
        <w:ind w:firstLine="567"/>
        <w:jc w:val="both"/>
      </w:pPr>
      <w:proofErr w:type="gramStart"/>
      <w:r>
        <w:t>Показатели отчета об исполнении бюджета по доходам отражены в сумме 1 169 467 238,86 рублей, что соответствует итоговой сумме фактических посту</w:t>
      </w:r>
      <w:r>
        <w:t>плений в 2019 году доходов в бюджет городского поселения Сергиев Посад и подтверждено отчетом о кассовом поступлении и выбытии, представленным Администрацией Сергиево-Посадского муниципального района Московской области, по суммам поступлений в разрезе видо</w:t>
      </w:r>
      <w:r>
        <w:t>в доходов.</w:t>
      </w:r>
      <w:proofErr w:type="gramEnd"/>
    </w:p>
    <w:p w:rsidR="00CF573F" w:rsidRDefault="003E60AC">
      <w:pPr>
        <w:ind w:firstLine="567"/>
        <w:jc w:val="both"/>
      </w:pPr>
      <w:r>
        <w:t>Анализ исполнения доходной части бюджета по разделам бюджетной классификации городского поселения Сергиев Посад представлен в приложении № 2.</w:t>
      </w:r>
    </w:p>
    <w:p w:rsidR="00CF573F" w:rsidRDefault="00CF573F">
      <w:pPr>
        <w:jc w:val="both"/>
      </w:pPr>
    </w:p>
    <w:p w:rsidR="00CF573F" w:rsidRDefault="003E60AC">
      <w:pPr>
        <w:jc w:val="center"/>
        <w:rPr>
          <w:b/>
        </w:rPr>
      </w:pPr>
      <w:r>
        <w:rPr>
          <w:b/>
        </w:rPr>
        <w:t>Расходы бюджета городского поселения Сергиев Посад.</w:t>
      </w:r>
    </w:p>
    <w:p w:rsidR="00CF573F" w:rsidRDefault="00CF573F">
      <w:pPr>
        <w:jc w:val="both"/>
        <w:rPr>
          <w:b/>
          <w:highlight w:val="yellow"/>
        </w:rPr>
      </w:pPr>
    </w:p>
    <w:p w:rsidR="00CF573F" w:rsidRDefault="003E60AC">
      <w:pPr>
        <w:jc w:val="both"/>
      </w:pPr>
      <w:r>
        <w:tab/>
        <w:t>В соответствии с внесенными изменениями в бюджет</w:t>
      </w:r>
      <w:r>
        <w:t xml:space="preserve"> городского поселения Сергиев Посад, утвержденными решениями Совета депутатов городского поселения Сергиев Посад, показатели по расходам утверждены в сумме – 1 513 066,3 тыс. рублей.</w:t>
      </w:r>
    </w:p>
    <w:p w:rsidR="00CF573F" w:rsidRDefault="003E60AC">
      <w:pPr>
        <w:ind w:firstLine="708"/>
        <w:jc w:val="both"/>
      </w:pPr>
      <w:r>
        <w:t>Расходная часть бюджета в течение 2019 года была увеличена на 598 370,7 т</w:t>
      </w:r>
      <w:r>
        <w:t>ыс. рублей, в том числе за счет следующих факторов.</w:t>
      </w:r>
    </w:p>
    <w:p w:rsidR="00CF573F" w:rsidRDefault="003E60AC">
      <w:pPr>
        <w:ind w:firstLine="708"/>
        <w:jc w:val="both"/>
      </w:pPr>
      <w:r>
        <w:t>1. Раздел «Общегосударственные вопросы»: расход увеличен на 1 550,3 тыс. рублей, в том числе: по подразделу «Функционирование высшего должностного лица субъекта Российской Федерации и муниципального образ</w:t>
      </w:r>
      <w:r>
        <w:t>ования» уменьшен на 142,4 тыс. рублей; по подразделу «Функционирование законодательных (представительных) органов государственной власти и представительных органов муниципального образования уменьшен на 655,9 тыс. рублей; по подразделу «Функционирование Пр</w:t>
      </w:r>
      <w:r>
        <w:t xml:space="preserve">авительства Российской Федерации, высших исполнительных органов государственной власти субъектов государственной власти субъектов Российской Федерации, местных </w:t>
      </w:r>
      <w:r>
        <w:lastRenderedPageBreak/>
        <w:t>администраций» уменьшение на 1 700,0 тыс. рублей; по подразделу «Другие общегосударственные вопр</w:t>
      </w:r>
      <w:r>
        <w:t xml:space="preserve">осы» </w:t>
      </w:r>
      <w:proofErr w:type="gramStart"/>
      <w:r>
        <w:t>увеличен</w:t>
      </w:r>
      <w:proofErr w:type="gramEnd"/>
      <w:r>
        <w:t xml:space="preserve"> на 4 048,6 тыс. рублей.</w:t>
      </w:r>
    </w:p>
    <w:p w:rsidR="00CF573F" w:rsidRDefault="003E60AC">
      <w:pPr>
        <w:ind w:firstLine="708"/>
        <w:jc w:val="both"/>
      </w:pPr>
      <w:r>
        <w:t xml:space="preserve">2. </w:t>
      </w:r>
      <w:proofErr w:type="gramStart"/>
      <w:r>
        <w:t xml:space="preserve">Раздел «Национальная безопасность и правоохранительная деятельность»: расход уменьшен на 2 300,0 тыс. рублей, в том числе: по подразделу «Защита населения и территории от чрезвычайных ситуаций природного и </w:t>
      </w:r>
      <w:r>
        <w:t>техногенного характера, гражданская оборона» на 300,0 тыс. рублей; по подразделу «Другие вопросы в области национальной безопасности и правоохранительной деятельности» уменьшение на 5 000,0 тыс. рублей.</w:t>
      </w:r>
      <w:proofErr w:type="gramEnd"/>
    </w:p>
    <w:p w:rsidR="00CF573F" w:rsidRDefault="003E60AC">
      <w:pPr>
        <w:ind w:firstLine="708"/>
        <w:jc w:val="both"/>
      </w:pPr>
      <w:r>
        <w:t xml:space="preserve">3. </w:t>
      </w:r>
      <w:proofErr w:type="gramStart"/>
      <w:r>
        <w:t>Раздел «Национальная экономика»: расход увеличен н</w:t>
      </w:r>
      <w:r>
        <w:t xml:space="preserve">а 181 963,1 тыс. рублей, в том числе: по подразделу «Дорожное хозяйство» увеличение на 175 833,8 тыс. рублей; по подразделу «Связь и информатика» увеличение на 1 129,3 тыс. рублей; по подразделу «Другие вопросы в области национальной экономики» увеличение </w:t>
      </w:r>
      <w:r>
        <w:t>на 7500,00 тыс. рублей.</w:t>
      </w:r>
      <w:proofErr w:type="gramEnd"/>
    </w:p>
    <w:p w:rsidR="00CF573F" w:rsidRDefault="003E60AC">
      <w:pPr>
        <w:ind w:firstLine="708"/>
        <w:jc w:val="both"/>
      </w:pPr>
      <w:r>
        <w:t xml:space="preserve">4. </w:t>
      </w:r>
      <w:proofErr w:type="gramStart"/>
      <w:r>
        <w:t>Раздел «Жилищно-коммунальное хозяйство»: расход увеличен на 368 235,0 тыс. рублей, в том числе: по подразделу «Жилищное хозяйство» увеличение на 138 738,2 тыс. рублей; по подразделу «Коммунальное хозяйство» увеличение на 45 374,5</w:t>
      </w:r>
      <w:r>
        <w:t xml:space="preserve"> тыс. рублей; по подразделу «Благоустройство» увеличение на 184 122,3 тыс. рублей.</w:t>
      </w:r>
      <w:proofErr w:type="gramEnd"/>
    </w:p>
    <w:p w:rsidR="00CF573F" w:rsidRDefault="003E60AC">
      <w:pPr>
        <w:ind w:firstLine="708"/>
        <w:jc w:val="both"/>
      </w:pPr>
      <w:r>
        <w:t>5. Раздел «Охрана окружающей среды» увеличен на 34 000,0 тыс. рублей (сбор, удаление отходов и очистка сточных вод).</w:t>
      </w:r>
    </w:p>
    <w:p w:rsidR="00CF573F" w:rsidRDefault="003E60AC">
      <w:pPr>
        <w:ind w:firstLine="708"/>
        <w:jc w:val="both"/>
      </w:pPr>
      <w:r>
        <w:t>6. Раздел «Образование»: расход увеличен на 40,3 тыс. ру</w:t>
      </w:r>
      <w:r>
        <w:t>блей по подразделу «Молодежная политика».</w:t>
      </w:r>
    </w:p>
    <w:p w:rsidR="00CF573F" w:rsidRDefault="003E60AC">
      <w:pPr>
        <w:ind w:firstLine="708"/>
        <w:jc w:val="both"/>
      </w:pPr>
      <w:r>
        <w:t>7. Раздел «Культура и кинематография»: расход уменьшен на 2 774,2 тыс. рублей по подразделу «Культура».</w:t>
      </w:r>
    </w:p>
    <w:p w:rsidR="00CF573F" w:rsidRDefault="003E60AC">
      <w:pPr>
        <w:ind w:firstLine="708"/>
        <w:jc w:val="both"/>
      </w:pPr>
      <w:r>
        <w:t xml:space="preserve">8. </w:t>
      </w:r>
      <w:proofErr w:type="gramStart"/>
      <w:r>
        <w:t>Раздел «Социальная политика»: расход увеличен на 16 277,8 тыс. рублей, в том числе: по подразделу «Пенсионн</w:t>
      </w:r>
      <w:r>
        <w:t>ое обеспечение» увеличен на 142,0 тыс. рублей; по подразделу «Социальное обеспечение населения» увеличен на 196,7 тыс. рублей; по подразделу «Охрана семьи и детства» увеличен на 15 939,1 тыс. рублей.</w:t>
      </w:r>
      <w:proofErr w:type="gramEnd"/>
    </w:p>
    <w:p w:rsidR="00CF573F" w:rsidRDefault="003E60AC">
      <w:pPr>
        <w:ind w:firstLine="708"/>
        <w:jc w:val="both"/>
      </w:pPr>
      <w:r>
        <w:t xml:space="preserve">9. </w:t>
      </w:r>
      <w:proofErr w:type="gramStart"/>
      <w:r>
        <w:t>Раздел «Физическая культура и спорт»: расход увеличен</w:t>
      </w:r>
      <w:r>
        <w:t xml:space="preserve"> на 5 722,9 тыс. рублей, по подразделу «Физическая культура» на 1 569,6 тыс. рублей, по подразделу «Массовый спорт» на 4 153,3 тыс. рублей.</w:t>
      </w:r>
      <w:proofErr w:type="gramEnd"/>
    </w:p>
    <w:p w:rsidR="00CF573F" w:rsidRDefault="003E60AC">
      <w:pPr>
        <w:ind w:firstLine="708"/>
        <w:jc w:val="both"/>
      </w:pPr>
      <w:r>
        <w:t>8. Раздел «Обслуживание государственного и муниципального долга»: расход уменьшен на 4 359,1 тыс. рублей, по подразд</w:t>
      </w:r>
      <w:r>
        <w:t>елу «Обслуживание государственного внутреннего и муниципального долга».</w:t>
      </w:r>
    </w:p>
    <w:p w:rsidR="00CF573F" w:rsidRDefault="003E60AC">
      <w:pPr>
        <w:ind w:firstLine="708"/>
        <w:jc w:val="both"/>
      </w:pPr>
      <w:r>
        <w:t>Согласно Отчету об исполнении бюджета городского поселения Сергиев Посад за 2019 год расходы исполнены в объеме 1 379 850 675-46. рублей, что составило 91,2% от утвержденных назначений</w:t>
      </w:r>
      <w:r>
        <w:t>, в том числе за счет увеличения расходной части бюджета в течение 2019 года.</w:t>
      </w:r>
    </w:p>
    <w:p w:rsidR="00CF573F" w:rsidRDefault="003E60AC">
      <w:pPr>
        <w:ind w:firstLine="708"/>
        <w:jc w:val="both"/>
      </w:pPr>
      <w:r>
        <w:t xml:space="preserve">Анализ </w:t>
      </w:r>
      <w:proofErr w:type="gramStart"/>
      <w:r>
        <w:t>исполнения расходов бюджета городского поселения Сергиев</w:t>
      </w:r>
      <w:proofErr w:type="gramEnd"/>
      <w:r>
        <w:t xml:space="preserve"> Посад по разделам бюджетной классификации расходов бюджетов представлен в приложении № 5.</w:t>
      </w:r>
    </w:p>
    <w:p w:rsidR="00CF573F" w:rsidRDefault="003E60AC">
      <w:pPr>
        <w:ind w:firstLine="900"/>
        <w:jc w:val="both"/>
      </w:pPr>
      <w:r>
        <w:t>Исполнение по разделам б</w:t>
      </w:r>
      <w:r>
        <w:t>юджетной классификации за 2019 год сложилось следующим образом:</w:t>
      </w:r>
    </w:p>
    <w:p w:rsidR="00CF573F" w:rsidRDefault="003E60AC">
      <w:pPr>
        <w:ind w:firstLine="900"/>
        <w:jc w:val="both"/>
      </w:pPr>
      <w:r>
        <w:t>по разделу «Общегосударственные вопросы» расходы составили 34 061,8 тыс. рублей или 87,9 % к уточненному плану. Сокращение расходов по данному разделу связано с ликвидацией администрации город</w:t>
      </w:r>
      <w:r>
        <w:t>ского поселения;</w:t>
      </w:r>
    </w:p>
    <w:p w:rsidR="00CF573F" w:rsidRDefault="003E60AC">
      <w:pPr>
        <w:ind w:firstLine="900"/>
        <w:jc w:val="both"/>
      </w:pPr>
      <w:r>
        <w:t xml:space="preserve">по разделу «Национальная безопасность и правоохранительная деятельность» расходы составили 20 244,3 тыс. рублей или 98,5 % к уточненному плану. Данные расходы предусмотрены на реализацию мероприятий муниципальной программы «Обеспечение </w:t>
      </w:r>
      <w:proofErr w:type="gramStart"/>
      <w:r>
        <w:t>без</w:t>
      </w:r>
      <w:r>
        <w:t>опасности жизнедеятельности населения городского поселения Сергиев</w:t>
      </w:r>
      <w:proofErr w:type="gramEnd"/>
      <w:r>
        <w:t xml:space="preserve"> Посад»;</w:t>
      </w:r>
    </w:p>
    <w:p w:rsidR="00CF573F" w:rsidRDefault="003E60AC">
      <w:pPr>
        <w:ind w:firstLine="900"/>
        <w:jc w:val="both"/>
      </w:pPr>
      <w:r>
        <w:t>по разделу «Национальная экономика» на транспортное обслуживание населения, дорожное хозяйство и поддержку малого и среднего предпринимательства расходы за отчетный период составили</w:t>
      </w:r>
      <w:r>
        <w:t xml:space="preserve"> 293 874,1 тыс. рублей или 98,2 % </w:t>
      </w:r>
      <w:proofErr w:type="gramStart"/>
      <w:r>
        <w:t>к</w:t>
      </w:r>
      <w:proofErr w:type="gramEnd"/>
      <w:r>
        <w:t xml:space="preserve"> уточненному;</w:t>
      </w:r>
    </w:p>
    <w:p w:rsidR="00CF573F" w:rsidRDefault="003E60AC">
      <w:pPr>
        <w:ind w:firstLine="900"/>
        <w:jc w:val="both"/>
      </w:pPr>
      <w:r>
        <w:t>по разделу «Жилищно-коммунальное хозяйство» расходы произведены в размере 698 666,2 тыс. рублей, что составляет 89,8 % к уточненному плану;</w:t>
      </w:r>
    </w:p>
    <w:p w:rsidR="00CF573F" w:rsidRDefault="003E60AC">
      <w:pPr>
        <w:ind w:firstLine="900"/>
        <w:jc w:val="both"/>
      </w:pPr>
      <w:r>
        <w:lastRenderedPageBreak/>
        <w:t xml:space="preserve">по разделу «Охрана окружающей среды» расходы произведены в размере </w:t>
      </w:r>
      <w:r>
        <w:t>0,00 тыс. рублей из запланированных 34 000,0 тыс. рублей;</w:t>
      </w:r>
    </w:p>
    <w:p w:rsidR="00CF573F" w:rsidRDefault="003E60AC">
      <w:pPr>
        <w:ind w:firstLine="900"/>
        <w:jc w:val="both"/>
      </w:pPr>
      <w:r>
        <w:t>по разделу «Образование» на проведение мероприятий для детей и молодежи в отчетном периоде расходы произведены по фактическим затратам в рамках муниципальной программы «Развитие сферы культуры, спор</w:t>
      </w:r>
      <w:r>
        <w:t>та и молодежного досуга в городском поселении Сергиев Посад» и составили 500,3 тыс. рублей или 100 % к уточненному плану;</w:t>
      </w:r>
    </w:p>
    <w:p w:rsidR="00CF573F" w:rsidRDefault="003E60AC">
      <w:pPr>
        <w:ind w:firstLine="900"/>
        <w:jc w:val="both"/>
      </w:pPr>
      <w:r>
        <w:t>по разделу «Культура, кинематография» расходы составили 245 650,4 тыс. рублей, или 100 % к уточненному плану;</w:t>
      </w:r>
    </w:p>
    <w:p w:rsidR="00CF573F" w:rsidRDefault="003E60AC">
      <w:pPr>
        <w:ind w:firstLine="900"/>
        <w:jc w:val="both"/>
      </w:pPr>
      <w:r>
        <w:t>по разделу «Социальная п</w:t>
      </w:r>
      <w:r>
        <w:t>олитика» расходы составили 28 034,6 тыс. рублей, что составляет 98,1 % к уточненному плану;</w:t>
      </w:r>
    </w:p>
    <w:p w:rsidR="00CF573F" w:rsidRDefault="003E60AC">
      <w:pPr>
        <w:ind w:firstLine="900"/>
        <w:jc w:val="both"/>
      </w:pPr>
      <w:r>
        <w:t>по разделу «Физическая культура и спорт» расходы составили 52 944,2 тыс. рублей, или 100 % к уточненному плану;</w:t>
      </w:r>
    </w:p>
    <w:p w:rsidR="00CF573F" w:rsidRDefault="003E60AC">
      <w:pPr>
        <w:ind w:firstLine="900"/>
        <w:jc w:val="both"/>
      </w:pPr>
      <w:r>
        <w:t>по разделу «Средства массовой информации» расходы со</w:t>
      </w:r>
      <w:r>
        <w:t>ставили 3 677,0 тыс. рублей, или 100 % к уточненному плану на опубликование муниципальных нормативных правовых актов и освещение деятельности органов местного самоуправления городского поселения в печатных и электронных СМИ;</w:t>
      </w:r>
    </w:p>
    <w:p w:rsidR="00CF573F" w:rsidRDefault="003E60AC">
      <w:pPr>
        <w:ind w:firstLine="900"/>
        <w:jc w:val="both"/>
      </w:pPr>
      <w:r>
        <w:t>расходы по разделу «Обслуживани</w:t>
      </w:r>
      <w:r>
        <w:t>е муниципального долга» составили 2 197,8 тыс. рублей, или 20,1 % от годовых назначений по данной статье.</w:t>
      </w:r>
    </w:p>
    <w:p w:rsidR="00CF573F" w:rsidRDefault="003E60AC">
      <w:pPr>
        <w:jc w:val="both"/>
      </w:pPr>
      <w:r>
        <w:rPr>
          <w:b/>
        </w:rPr>
        <w:tab/>
      </w:r>
      <w:r>
        <w:t>В семи разделах бюджетной классификации исполнение расходов за 2019 год составило более 90%:</w:t>
      </w:r>
    </w:p>
    <w:p w:rsidR="00CF573F" w:rsidRDefault="003E60AC">
      <w:pPr>
        <w:ind w:firstLine="708"/>
        <w:jc w:val="both"/>
      </w:pPr>
      <w:r>
        <w:t>- «Национальная безопасность и правоохранительная деятел</w:t>
      </w:r>
      <w:r>
        <w:t>ьность» 98,5%;</w:t>
      </w:r>
    </w:p>
    <w:p w:rsidR="00CF573F" w:rsidRDefault="003E60AC">
      <w:pPr>
        <w:ind w:firstLine="708"/>
        <w:jc w:val="both"/>
      </w:pPr>
      <w:r>
        <w:t>- «Национальная экономика» 98,2%;</w:t>
      </w:r>
    </w:p>
    <w:p w:rsidR="00CF573F" w:rsidRDefault="003E60AC">
      <w:pPr>
        <w:ind w:firstLine="708"/>
        <w:jc w:val="both"/>
      </w:pPr>
      <w:r>
        <w:t>- «Культура, кинематография» 100%;</w:t>
      </w:r>
    </w:p>
    <w:p w:rsidR="00CF573F" w:rsidRDefault="003E60AC">
      <w:pPr>
        <w:ind w:firstLine="708"/>
        <w:jc w:val="both"/>
      </w:pPr>
      <w:r>
        <w:t>- «Образование» -100%;</w:t>
      </w:r>
    </w:p>
    <w:p w:rsidR="00CF573F" w:rsidRDefault="003E60AC">
      <w:pPr>
        <w:ind w:firstLine="708"/>
        <w:jc w:val="both"/>
      </w:pPr>
      <w:r>
        <w:t>- «Социальная политика» 98,1%;</w:t>
      </w:r>
    </w:p>
    <w:p w:rsidR="00CF573F" w:rsidRDefault="003E60AC">
      <w:pPr>
        <w:ind w:firstLine="708"/>
        <w:jc w:val="both"/>
      </w:pPr>
      <w:r>
        <w:t>- «Физическая культура и спорт» 100%;</w:t>
      </w:r>
    </w:p>
    <w:p w:rsidR="00CF573F" w:rsidRDefault="003E60AC">
      <w:pPr>
        <w:ind w:firstLine="708"/>
        <w:jc w:val="both"/>
      </w:pPr>
      <w:r>
        <w:t>- «Средства массовой информации» 99,9%.</w:t>
      </w:r>
    </w:p>
    <w:p w:rsidR="00CF573F" w:rsidRDefault="003E60AC">
      <w:pPr>
        <w:ind w:firstLine="709"/>
        <w:jc w:val="both"/>
      </w:pPr>
      <w:r>
        <w:t xml:space="preserve">По разделу «Жилищно-коммунальное хозяйство» </w:t>
      </w:r>
      <w:r>
        <w:rPr>
          <w:b/>
        </w:rPr>
        <w:t xml:space="preserve">- </w:t>
      </w:r>
      <w:r>
        <w:t>89,8%</w:t>
      </w:r>
    </w:p>
    <w:p w:rsidR="00CF573F" w:rsidRDefault="003E60AC">
      <w:pPr>
        <w:ind w:firstLine="709"/>
        <w:jc w:val="both"/>
      </w:pPr>
      <w:r>
        <w:t>Низкий процент освоения составляют расходы по разделу</w:t>
      </w:r>
      <w:r>
        <w:rPr>
          <w:b/>
        </w:rPr>
        <w:t xml:space="preserve"> </w:t>
      </w:r>
      <w:r>
        <w:t xml:space="preserve">«Охрана окружающей среды» - 0%. Указанные средства направлены на проведение работ по строительству и реконструкции объектов очистки сточных вод. </w:t>
      </w:r>
      <w:r>
        <w:t>Расходы в отчетном периоде не производились в связи с переносом срока выполнения данных работ на 2020 год.</w:t>
      </w:r>
    </w:p>
    <w:p w:rsidR="00CF573F" w:rsidRDefault="003E60AC">
      <w:pPr>
        <w:ind w:firstLine="708"/>
        <w:jc w:val="both"/>
      </w:pPr>
      <w:r>
        <w:t>Кассовый план по расходам за 2019 год выполнен на 91,2 %.</w:t>
      </w:r>
    </w:p>
    <w:p w:rsidR="00CF573F" w:rsidRDefault="00CF573F">
      <w:pPr>
        <w:ind w:firstLine="708"/>
        <w:jc w:val="both"/>
        <w:rPr>
          <w:b/>
        </w:rPr>
      </w:pPr>
    </w:p>
    <w:p w:rsidR="00CF573F" w:rsidRDefault="003E60AC">
      <w:pPr>
        <w:jc w:val="center"/>
        <w:rPr>
          <w:b/>
        </w:rPr>
      </w:pPr>
      <w:r>
        <w:rPr>
          <w:b/>
        </w:rPr>
        <w:t>Анализ использования средств резервного фонда.</w:t>
      </w:r>
    </w:p>
    <w:p w:rsidR="00CF573F" w:rsidRDefault="00CF573F">
      <w:pPr>
        <w:jc w:val="center"/>
        <w:rPr>
          <w:b/>
        </w:rPr>
      </w:pPr>
    </w:p>
    <w:p w:rsidR="00CF573F" w:rsidRDefault="003E60AC">
      <w:pPr>
        <w:jc w:val="both"/>
      </w:pPr>
      <w:r>
        <w:rPr>
          <w:b/>
        </w:rPr>
        <w:tab/>
      </w:r>
      <w:proofErr w:type="gramStart"/>
      <w:r>
        <w:t>В соответствии со статьей 81 Бюджетного к</w:t>
      </w:r>
      <w:r>
        <w:t>одекса Российской Федерации, Решением Совета депутатов муниципального образования городское поселение Сергиев Посад Сергиево-Посадского муниципального района Московской области от 20.12.2018 № 4-17/153-ГС «О бюджете городского поселения Сергиев Посад на 20</w:t>
      </w:r>
      <w:r>
        <w:t>18 год (с учетом изменений) установлен размер резервного фонда администрации Сергиево-Посадского муниципального района на 2019 год в размере 3 000,0 тыс. рублей, что составляет 0,2 % от</w:t>
      </w:r>
      <w:proofErr w:type="gramEnd"/>
      <w:r>
        <w:t xml:space="preserve"> общего объема расходов бюджета городского поселения Сергиев Посад. Раз</w:t>
      </w:r>
      <w:r>
        <w:t>мер резервного фонда не превышает ограничений, установленных частью 3 статьи 81 Бюджетного кодекса Российской Федерации. Частью 4 статьи 81 Бюджетного кодекса Российской Федерации установлено, что средства резервных фондов местных администраций направляютс</w:t>
      </w:r>
      <w:r>
        <w:t xml:space="preserve">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  <w:proofErr w:type="gramStart"/>
      <w:r>
        <w:t>Согласно отчету об исполнении бюджета</w:t>
      </w:r>
      <w:r>
        <w:t xml:space="preserve"> муниципального образования городское поселение Сергиев Посад за 2019 год и отчета об использовании ассигнований резервного фонда администрации Сергиево-</w:t>
      </w:r>
      <w:r>
        <w:lastRenderedPageBreak/>
        <w:t>Посадского муниципального района Московской области, по постановлению Главы Сергиево-Посадского муницип</w:t>
      </w:r>
      <w:r>
        <w:t>ального района Московской области от 04.07.2019 № 1069-ПГ «О выделении средств из резервного фонда администрации Сергиево-Посадского муниципального района Московской области» в сумме 1,5 тыс. рублей направлено на увеличение финансирования сверх</w:t>
      </w:r>
      <w:proofErr w:type="gramEnd"/>
      <w:r>
        <w:t xml:space="preserve"> средств, пр</w:t>
      </w:r>
      <w:r>
        <w:t>едусмотренных на обеспечение мероприятий по улучшению жилищных условий семей, имеющих семь и более детей. Впоследствии данные средства были восстановлены.</w:t>
      </w:r>
    </w:p>
    <w:p w:rsidR="00CF573F" w:rsidRDefault="003E60AC">
      <w:pPr>
        <w:ind w:firstLine="708"/>
        <w:jc w:val="both"/>
      </w:pPr>
      <w:r>
        <w:t xml:space="preserve">Остаток нераспределенных бюджетных ассигнований резервного фонда составляет 3 000,0 тыс. рублей, или </w:t>
      </w:r>
      <w:r>
        <w:t>100 % от установленного размера.</w:t>
      </w:r>
    </w:p>
    <w:p w:rsidR="00CF573F" w:rsidRDefault="00CF573F">
      <w:pPr>
        <w:jc w:val="both"/>
      </w:pPr>
    </w:p>
    <w:p w:rsidR="00CF573F" w:rsidRDefault="003E60AC">
      <w:pPr>
        <w:jc w:val="center"/>
        <w:rPr>
          <w:b/>
        </w:rPr>
      </w:pPr>
      <w:r>
        <w:rPr>
          <w:b/>
        </w:rPr>
        <w:t>Анализ финансирования муниципальных программ.</w:t>
      </w:r>
    </w:p>
    <w:p w:rsidR="00CF573F" w:rsidRDefault="00CF573F">
      <w:pPr>
        <w:jc w:val="center"/>
        <w:rPr>
          <w:b/>
          <w:highlight w:val="yellow"/>
        </w:rPr>
      </w:pPr>
    </w:p>
    <w:p w:rsidR="00CF573F" w:rsidRDefault="003E60AC">
      <w:pPr>
        <w:jc w:val="both"/>
      </w:pPr>
      <w:r>
        <w:tab/>
      </w:r>
      <w:proofErr w:type="gramStart"/>
      <w:r>
        <w:t>Решением о бюджете городского поселения Сергиев Посад на 2019 год утверждено 13 муниципальных программ с общей суммой финансирования 1 489 468,5 тыс. рублей (в том числе за с</w:t>
      </w:r>
      <w:r>
        <w:t>чет средств местного бюджета 1 002 044,6 тыс. рублей), фактическим исполнением – 1 349 102,8 тыс. рублей (в том числе за счет местного бюджета 961 859,9 тыс. рублей) или 71,3%, что составляет 97,77% от</w:t>
      </w:r>
      <w:proofErr w:type="gramEnd"/>
      <w:r>
        <w:t xml:space="preserve"> всей суммы расходов, осуществленных в 2019 году. Расхо</w:t>
      </w:r>
      <w:r>
        <w:t>ды бюджета городского поселения Сергиев Посад за 2019 год по муниципальным программам отражены в Приложение № 6. При условии достижения целевых показателей муниципальных программ исполнение программных назначений можно считать достаточными.</w:t>
      </w:r>
    </w:p>
    <w:p w:rsidR="00CF573F" w:rsidRDefault="00CF573F">
      <w:pPr>
        <w:jc w:val="both"/>
      </w:pPr>
    </w:p>
    <w:p w:rsidR="00CF573F" w:rsidRDefault="00CF573F">
      <w:pPr>
        <w:jc w:val="center"/>
        <w:rPr>
          <w:b/>
        </w:rPr>
      </w:pPr>
    </w:p>
    <w:p w:rsidR="00CF573F" w:rsidRDefault="00CF573F">
      <w:pPr>
        <w:jc w:val="center"/>
        <w:rPr>
          <w:b/>
        </w:rPr>
      </w:pPr>
    </w:p>
    <w:p w:rsidR="00CF573F" w:rsidRDefault="003E60AC">
      <w:pPr>
        <w:jc w:val="center"/>
        <w:rPr>
          <w:b/>
        </w:rPr>
      </w:pPr>
      <w:r>
        <w:rPr>
          <w:b/>
        </w:rPr>
        <w:t>Управление м</w:t>
      </w:r>
      <w:r>
        <w:rPr>
          <w:b/>
        </w:rPr>
        <w:t>униципальным долгом.</w:t>
      </w:r>
    </w:p>
    <w:p w:rsidR="00CF573F" w:rsidRDefault="00CF573F">
      <w:pPr>
        <w:jc w:val="center"/>
        <w:rPr>
          <w:b/>
        </w:rPr>
      </w:pPr>
    </w:p>
    <w:p w:rsidR="00CF573F" w:rsidRDefault="003E60AC">
      <w:pPr>
        <w:ind w:firstLine="900"/>
        <w:jc w:val="both"/>
      </w:pPr>
      <w:r>
        <w:rPr>
          <w:b/>
        </w:rPr>
        <w:tab/>
      </w:r>
      <w:proofErr w:type="gramStart"/>
      <w:r>
        <w:t>По состоянию на 1 января 2020 года фактический объем муниципального долга составил 95 000,0 тыс. рублей (объем основного долга по кредитам:</w:t>
      </w:r>
      <w:proofErr w:type="gramEnd"/>
      <w:r>
        <w:t xml:space="preserve"> ПАО «Сбербанк России» - 30 000,0 тысяч рублей; </w:t>
      </w:r>
      <w:r>
        <w:rPr>
          <w:color w:val="000000"/>
        </w:rPr>
        <w:t xml:space="preserve">ПАО Банк «Возрождение» </w:t>
      </w:r>
      <w:r>
        <w:t>- 65 000,0 тысяч рублей</w:t>
      </w:r>
      <w:r>
        <w:t>)</w:t>
      </w:r>
      <w:proofErr w:type="gramStart"/>
      <w:r>
        <w:t>,ч</w:t>
      </w:r>
      <w:proofErr w:type="gramEnd"/>
      <w:r>
        <w:t>то составляет 11,21 % от общего годового объема доходов бюджета городского поселения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F573F" w:rsidRDefault="003E60AC">
      <w:pPr>
        <w:jc w:val="both"/>
        <w:rPr>
          <w:highlight w:val="yellow"/>
        </w:rPr>
      </w:pPr>
      <w:r>
        <w:tab/>
        <w:t>В соответствии со статьей 104</w:t>
      </w:r>
      <w:r>
        <w:rPr>
          <w:b/>
        </w:rPr>
        <w:t xml:space="preserve"> </w:t>
      </w:r>
      <w:r>
        <w:t>Бюджетн</w:t>
      </w:r>
      <w:r>
        <w:t>ого Кодекса РФ о муниципальных внутренних заимствованиях Контрольно-счетной палатой ежеквартально контролировалось движение заемных средств и исполнение финансовых обязательств городского поселения Сергиев Посад. Проверка муниципальной долговой книги показ</w:t>
      </w:r>
      <w:r>
        <w:t>ала, что учет долговых обязательств ведется в соответствии с требованиями статьи 121</w:t>
      </w:r>
      <w:r>
        <w:rPr>
          <w:b/>
        </w:rPr>
        <w:t xml:space="preserve"> </w:t>
      </w:r>
      <w:r>
        <w:t xml:space="preserve">Бюджетного Кодекса </w:t>
      </w:r>
    </w:p>
    <w:p w:rsidR="00CF573F" w:rsidRDefault="00CF573F">
      <w:pPr>
        <w:jc w:val="both"/>
        <w:rPr>
          <w:highlight w:val="yellow"/>
        </w:rPr>
      </w:pPr>
    </w:p>
    <w:p w:rsidR="00CF573F" w:rsidRDefault="003E60AC">
      <w:pPr>
        <w:jc w:val="center"/>
        <w:rPr>
          <w:b/>
        </w:rPr>
      </w:pPr>
      <w:r>
        <w:rPr>
          <w:b/>
        </w:rPr>
        <w:t>Источники внутреннего финансирования дефицита бюджета.</w:t>
      </w:r>
    </w:p>
    <w:p w:rsidR="00CF573F" w:rsidRDefault="00CF573F">
      <w:pPr>
        <w:jc w:val="center"/>
        <w:rPr>
          <w:b/>
        </w:rPr>
      </w:pPr>
    </w:p>
    <w:p w:rsidR="00CF573F" w:rsidRDefault="003E60AC">
      <w:pPr>
        <w:jc w:val="both"/>
      </w:pPr>
      <w:r>
        <w:tab/>
      </w:r>
      <w:proofErr w:type="gramStart"/>
      <w:r>
        <w:t xml:space="preserve">Решением Совета депутатов городского поселения Сергиев Посад «О бюджете городского поселения </w:t>
      </w:r>
      <w:r>
        <w:t>Сергиев Посад на 2019 год» установлен предельный размер дефицита в сумме 246 648,6 тыс. рублей, который может превышать 10% ограничение, установленное пунктом 3 статьи 92 Бюджетного Кодекса РФ на сумму уменьшения остатков целевых средств, полученных в форм</w:t>
      </w:r>
      <w:r>
        <w:t>е субвенций, субсидий и иных межбюджетных трансфертов.</w:t>
      </w:r>
      <w:proofErr w:type="gramEnd"/>
    </w:p>
    <w:p w:rsidR="00CF573F" w:rsidRDefault="003E60AC">
      <w:pPr>
        <w:jc w:val="both"/>
      </w:pPr>
      <w:r>
        <w:tab/>
        <w:t xml:space="preserve">Погашение дефицита бюджета </w:t>
      </w:r>
      <w:r>
        <w:rPr>
          <w:u w:val="single"/>
        </w:rPr>
        <w:t>планировалось</w:t>
      </w:r>
      <w:r>
        <w:t xml:space="preserve"> производить за счет следующих источников:</w:t>
      </w:r>
    </w:p>
    <w:p w:rsidR="00CF573F" w:rsidRDefault="003E60AC">
      <w:pPr>
        <w:numPr>
          <w:ilvl w:val="0"/>
          <w:numId w:val="2"/>
        </w:numPr>
        <w:jc w:val="both"/>
      </w:pPr>
      <w:r>
        <w:t>Кредиты кредитных организаций в валюте Российской Федерации в размере 66 210,2 тыс. рублей;</w:t>
      </w:r>
    </w:p>
    <w:p w:rsidR="00CF573F" w:rsidRDefault="003E60AC">
      <w:pPr>
        <w:numPr>
          <w:ilvl w:val="0"/>
          <w:numId w:val="4"/>
        </w:numPr>
        <w:jc w:val="both"/>
      </w:pPr>
      <w:r>
        <w:lastRenderedPageBreak/>
        <w:t>Изменения остатков средст</w:t>
      </w:r>
      <w:r>
        <w:t>в на счетах по учету средств бюджета в размере 180 438,4 тыс. рублей.</w:t>
      </w:r>
    </w:p>
    <w:p w:rsidR="00CF573F" w:rsidRDefault="003E60AC">
      <w:pPr>
        <w:ind w:firstLine="420"/>
        <w:jc w:val="both"/>
      </w:pPr>
      <w:r>
        <w:rPr>
          <w:u w:val="single"/>
        </w:rPr>
        <w:t xml:space="preserve">Фактическое </w:t>
      </w:r>
      <w:r>
        <w:t xml:space="preserve">исполнение по источникам внутреннего </w:t>
      </w:r>
      <w:proofErr w:type="gramStart"/>
      <w:r>
        <w:t>финансирования дефицита бюджета городского поселения Сергиев</w:t>
      </w:r>
      <w:proofErr w:type="gramEnd"/>
      <w:r>
        <w:t xml:space="preserve"> Посад сложился дефицит в сумме 210 383,4 тыс. рублей. На погашение дефицита </w:t>
      </w:r>
      <w:r>
        <w:t>бюджета направлены следующие источники:</w:t>
      </w:r>
    </w:p>
    <w:p w:rsidR="00CF573F" w:rsidRDefault="003E60AC">
      <w:pPr>
        <w:numPr>
          <w:ilvl w:val="0"/>
          <w:numId w:val="2"/>
        </w:numPr>
        <w:jc w:val="both"/>
      </w:pPr>
      <w:r>
        <w:t>Кредиты кредитных организаций в валюте Российской Федерации в размере 65 000,0 тыс. рублей;</w:t>
      </w:r>
    </w:p>
    <w:p w:rsidR="00CF573F" w:rsidRDefault="003E60AC">
      <w:pPr>
        <w:numPr>
          <w:ilvl w:val="0"/>
          <w:numId w:val="4"/>
        </w:numPr>
        <w:jc w:val="both"/>
      </w:pPr>
      <w:r>
        <w:t>Изменения остатков средств на счетах по учету средств бюджета в размере 145 383,4 тыс. рублей.</w:t>
      </w:r>
    </w:p>
    <w:p w:rsidR="00CF573F" w:rsidRDefault="00CF573F">
      <w:pPr>
        <w:jc w:val="both"/>
      </w:pPr>
    </w:p>
    <w:p w:rsidR="00CF573F" w:rsidRDefault="003E60AC">
      <w:pPr>
        <w:jc w:val="center"/>
      </w:pPr>
      <w:r>
        <w:rPr>
          <w:b/>
        </w:rPr>
        <w:t>Бюджетная отчетность главных</w:t>
      </w:r>
      <w:r>
        <w:rPr>
          <w:b/>
        </w:rPr>
        <w:t xml:space="preserve"> администраторов бюджетных средств.</w:t>
      </w:r>
    </w:p>
    <w:p w:rsidR="00CF573F" w:rsidRDefault="00CF573F">
      <w:pPr>
        <w:jc w:val="center"/>
        <w:rPr>
          <w:b/>
        </w:rPr>
      </w:pPr>
    </w:p>
    <w:p w:rsidR="00CF573F" w:rsidRDefault="003E60AC">
      <w:pPr>
        <w:ind w:firstLine="708"/>
        <w:jc w:val="both"/>
      </w:pPr>
      <w:r>
        <w:t>Годовая бюджетная отчетность главных администраторов бюджетных средств муниципального образования составляется в порядке, установленном статьей 264.1 Бюджетного кодекса Российской Федерации, приказом Министерства финанс</w:t>
      </w:r>
      <w:r>
        <w:t>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(далее: инструкция № 191н). Проверка год</w:t>
      </w:r>
      <w:r>
        <w:t>овой бюджетной отчетности проводилась на камеральном уровне, оценивались следующие показатели:</w:t>
      </w:r>
    </w:p>
    <w:p w:rsidR="00CF573F" w:rsidRDefault="003E60AC">
      <w:pPr>
        <w:ind w:firstLine="708"/>
        <w:jc w:val="both"/>
      </w:pPr>
      <w:r>
        <w:t>- представление отчетности в полном объеме (наличие всех необходимых форм);</w:t>
      </w:r>
    </w:p>
    <w:p w:rsidR="00CF573F" w:rsidRDefault="003E60AC">
      <w:pPr>
        <w:ind w:firstLine="708"/>
        <w:jc w:val="both"/>
      </w:pPr>
      <w:r>
        <w:t>- соблюдение единого порядка составления годовой бюджетной отчетности;</w:t>
      </w:r>
    </w:p>
    <w:p w:rsidR="00CF573F" w:rsidRDefault="003E60AC">
      <w:pPr>
        <w:ind w:firstLine="708"/>
        <w:jc w:val="both"/>
      </w:pPr>
      <w:r>
        <w:t>- полнота и пр</w:t>
      </w:r>
      <w:r>
        <w:t>авильность заполнения необходимых реквизитов;</w:t>
      </w:r>
    </w:p>
    <w:p w:rsidR="00CF573F" w:rsidRDefault="003E60AC">
      <w:pPr>
        <w:ind w:firstLine="708"/>
        <w:jc w:val="both"/>
      </w:pPr>
      <w:r>
        <w:t>- достоверность отчетности.</w:t>
      </w:r>
    </w:p>
    <w:p w:rsidR="00CF573F" w:rsidRDefault="003E60AC">
      <w:pPr>
        <w:ind w:firstLine="708"/>
        <w:jc w:val="both"/>
      </w:pPr>
      <w:r>
        <w:t>В соответствии с п.11.2 Инструкции № 191н годовая консолидированная бюджетная отчетность городского поселения Сергиев Посад за 2019 год представлена в следующем составе:</w:t>
      </w:r>
    </w:p>
    <w:p w:rsidR="00CF573F" w:rsidRDefault="003E60AC">
      <w:pPr>
        <w:ind w:firstLine="708"/>
        <w:jc w:val="both"/>
      </w:pPr>
      <w:r>
        <w:t>- ф. 0503120</w:t>
      </w:r>
      <w:r>
        <w:t xml:space="preserve"> баланс исполнения бюджета;</w:t>
      </w:r>
    </w:p>
    <w:p w:rsidR="00CF573F" w:rsidRDefault="003E60AC">
      <w:pPr>
        <w:ind w:firstLine="708"/>
        <w:jc w:val="both"/>
      </w:pPr>
      <w:r>
        <w:t>- ф. 0503125 справка по консолидируемым расчетам;</w:t>
      </w:r>
    </w:p>
    <w:p w:rsidR="00CF573F" w:rsidRDefault="003E60AC">
      <w:pPr>
        <w:ind w:firstLine="708"/>
        <w:jc w:val="both"/>
      </w:pPr>
      <w:r>
        <w:t>- ф. 0503110 справка по заключению счетов бюджетного учета отчетного финансового года;</w:t>
      </w:r>
    </w:p>
    <w:p w:rsidR="00CF573F" w:rsidRDefault="003E60AC">
      <w:pPr>
        <w:ind w:firstLine="708"/>
        <w:jc w:val="both"/>
      </w:pPr>
      <w:r>
        <w:t>- ф. 0503117 отчет об исполнении бюджета;</w:t>
      </w:r>
    </w:p>
    <w:p w:rsidR="00CF573F" w:rsidRDefault="003E60AC">
      <w:pPr>
        <w:ind w:firstLine="708"/>
        <w:jc w:val="both"/>
      </w:pPr>
      <w:r>
        <w:t>- ф. 0503123 отчет о движении денежных средств;</w:t>
      </w:r>
    </w:p>
    <w:p w:rsidR="00CF573F" w:rsidRDefault="003E60AC">
      <w:pPr>
        <w:ind w:firstLine="708"/>
        <w:jc w:val="both"/>
      </w:pPr>
      <w:r>
        <w:t>-</w:t>
      </w:r>
      <w:r>
        <w:t xml:space="preserve"> ф. 0503121 отчет о финансовых результатах деятельности;</w:t>
      </w:r>
    </w:p>
    <w:p w:rsidR="00CF573F" w:rsidRDefault="003E60AC">
      <w:pPr>
        <w:ind w:firstLine="708"/>
        <w:jc w:val="both"/>
      </w:pPr>
      <w:r>
        <w:t>- ф. 0503160 пояснительная записка.</w:t>
      </w:r>
    </w:p>
    <w:p w:rsidR="00CF573F" w:rsidRDefault="003E60AC">
      <w:pPr>
        <w:ind w:firstLine="708"/>
        <w:jc w:val="both"/>
      </w:pPr>
      <w:r>
        <w:t xml:space="preserve">Соотношение показателей форм представленной бюджетной отчетности финансовым органом городского поселения Сергиев Посад достигнуто, представленная отчетность имеет </w:t>
      </w:r>
      <w:r>
        <w:t>требуемое Инструкцией 191н соотношение форм отчетности.</w:t>
      </w:r>
    </w:p>
    <w:p w:rsidR="00CF573F" w:rsidRDefault="00CF573F">
      <w:pPr>
        <w:jc w:val="both"/>
      </w:pPr>
    </w:p>
    <w:p w:rsidR="00CF573F" w:rsidRDefault="003E60AC">
      <w:pPr>
        <w:jc w:val="center"/>
        <w:rPr>
          <w:b/>
        </w:rPr>
      </w:pPr>
      <w:r>
        <w:rPr>
          <w:b/>
        </w:rPr>
        <w:t>Анализ дебиторской и кредиторской задолженности.</w:t>
      </w:r>
    </w:p>
    <w:p w:rsidR="00CF573F" w:rsidRDefault="003E60AC">
      <w:pPr>
        <w:tabs>
          <w:tab w:val="left" w:pos="5771"/>
        </w:tabs>
        <w:jc w:val="both"/>
      </w:pPr>
      <w:r>
        <w:tab/>
      </w:r>
    </w:p>
    <w:p w:rsidR="00CF573F" w:rsidRDefault="003E60AC">
      <w:pPr>
        <w:ind w:firstLine="708"/>
        <w:jc w:val="both"/>
      </w:pPr>
      <w:r>
        <w:t xml:space="preserve">Согласно данным отчета «Сведения по дебиторской и кредиторской задолженности» по форме № 0503169 дебиторская задолженность на 01.01.2020 года по </w:t>
      </w:r>
      <w:r>
        <w:t>бюджетной деятельности по выданным авансам – 646,5 тыс. рублей.</w:t>
      </w:r>
    </w:p>
    <w:p w:rsidR="00CF573F" w:rsidRDefault="003E60AC">
      <w:pPr>
        <w:ind w:firstLine="708"/>
        <w:jc w:val="both"/>
      </w:pPr>
      <w:r>
        <w:t>Сумма выданных авансов по состоянию на 01.01.2020 года составляла 646,5 тыс. рублей или 5,46 % в общей сумме дебиторской задолженности:</w:t>
      </w:r>
    </w:p>
    <w:p w:rsidR="00CF573F" w:rsidRDefault="003E60AC">
      <w:pPr>
        <w:ind w:firstLine="708"/>
        <w:jc w:val="both"/>
      </w:pPr>
      <w:r>
        <w:t>- по коду 120626000 на сумму 646,2 тыс. рублей – предопл</w:t>
      </w:r>
      <w:r>
        <w:t>ата за услуги, предоставленные ГУП МО «</w:t>
      </w:r>
      <w:proofErr w:type="spellStart"/>
      <w:r>
        <w:t>Мособлгаз</w:t>
      </w:r>
      <w:proofErr w:type="spellEnd"/>
      <w:r>
        <w:t xml:space="preserve">», в </w:t>
      </w:r>
      <w:proofErr w:type="spellStart"/>
      <w:r>
        <w:t>т.ч</w:t>
      </w:r>
      <w:proofErr w:type="spellEnd"/>
      <w:r>
        <w:t xml:space="preserve">. за подключение к газораспределению котельной с. Глинково – 624,9 тыс. рублей; 21,3 тыс. рублей – за техническое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к электрической сети;</w:t>
      </w:r>
    </w:p>
    <w:p w:rsidR="00CF573F" w:rsidRDefault="003E60AC">
      <w:pPr>
        <w:ind w:firstLine="708"/>
        <w:jc w:val="both"/>
      </w:pPr>
      <w:r>
        <w:t>- по коду 120641000 на</w:t>
      </w:r>
      <w:r>
        <w:t xml:space="preserve"> сумму 0,3 тыс. рублей – неиспользованная субсидия на иные цели.</w:t>
      </w:r>
    </w:p>
    <w:p w:rsidR="00CF573F" w:rsidRDefault="003E60AC">
      <w:pPr>
        <w:ind w:firstLine="708"/>
        <w:jc w:val="both"/>
      </w:pPr>
      <w:r>
        <w:lastRenderedPageBreak/>
        <w:t>Кредиторская задолженность по состоянию на 01.01.2019 отражена в размере 40 133,18 тыс. рублей с начала года увеличилась в 1,43 раза и составила на 01.01.2020 – 57 382,8 тыс. рублей по принят</w:t>
      </w:r>
      <w:r>
        <w:t>ым обязательствам, в том числе:</w:t>
      </w:r>
    </w:p>
    <w:p w:rsidR="00CF573F" w:rsidRDefault="003E60AC">
      <w:pPr>
        <w:ind w:left="-180" w:firstLine="888"/>
        <w:jc w:val="both"/>
      </w:pPr>
      <w:r>
        <w:t xml:space="preserve">По коду </w:t>
      </w:r>
      <w:r>
        <w:rPr>
          <w:b/>
        </w:rPr>
        <w:t xml:space="preserve">130200000 </w:t>
      </w:r>
      <w:r>
        <w:t>составила 57 375 089,15 рублей, в том числе:</w:t>
      </w:r>
    </w:p>
    <w:p w:rsidR="00CF573F" w:rsidRDefault="003E60AC">
      <w:pPr>
        <w:ind w:left="-180" w:firstLine="888"/>
        <w:jc w:val="both"/>
      </w:pPr>
      <w:r>
        <w:t xml:space="preserve">- по коду 130221000 на сумму 6,0 тыс. рублей - за </w:t>
      </w:r>
      <w:proofErr w:type="gramStart"/>
      <w:r>
        <w:t>предоставленные</w:t>
      </w:r>
      <w:proofErr w:type="gramEnd"/>
      <w:r>
        <w:t xml:space="preserve"> услуг интернета ИП </w:t>
      </w:r>
      <w:proofErr w:type="spellStart"/>
      <w:r>
        <w:t>Тиканов</w:t>
      </w:r>
      <w:proofErr w:type="spellEnd"/>
      <w:r>
        <w:t xml:space="preserve"> А.В.;</w:t>
      </w:r>
    </w:p>
    <w:p w:rsidR="00CF573F" w:rsidRDefault="003E60AC">
      <w:pPr>
        <w:ind w:left="-180" w:firstLine="888"/>
        <w:jc w:val="both"/>
      </w:pPr>
      <w:r>
        <w:t>-  по коду 130223000 на сумму 1 711,6 тыс. рублей – за предост</w:t>
      </w:r>
      <w:r>
        <w:t>авленные услуги уличного освещения города в декабре 2019 года ПАО «</w:t>
      </w:r>
      <w:proofErr w:type="spellStart"/>
      <w:r>
        <w:t>Мосэнергосбыт</w:t>
      </w:r>
      <w:proofErr w:type="spellEnd"/>
      <w:r>
        <w:t>»;</w:t>
      </w:r>
    </w:p>
    <w:p w:rsidR="00CF573F" w:rsidRDefault="003E60AC">
      <w:pPr>
        <w:ind w:left="-180" w:firstLine="888"/>
        <w:jc w:val="both"/>
        <w:rPr>
          <w:highlight w:val="yellow"/>
        </w:rPr>
      </w:pPr>
      <w:proofErr w:type="gramStart"/>
      <w:r>
        <w:t xml:space="preserve">-  по коду 130225000 на сумму 453,5 тыс. рублей – в </w:t>
      </w:r>
      <w:proofErr w:type="spellStart"/>
      <w:r>
        <w:t>т.ч</w:t>
      </w:r>
      <w:proofErr w:type="spellEnd"/>
      <w:r>
        <w:t>. за услуги по предоставлению видеоизображения системе «Безопасный регион» ООО «ТСИ» - 170,1 тыс. рублей; за услуги по</w:t>
      </w:r>
      <w:r>
        <w:t xml:space="preserve"> </w:t>
      </w:r>
      <w:proofErr w:type="spellStart"/>
      <w:r>
        <w:t>энергосервису</w:t>
      </w:r>
      <w:proofErr w:type="spellEnd"/>
      <w:r>
        <w:t xml:space="preserve"> в декабре 2019 года АО «СПЭС» - 277,4 тыс. рублей; за мойку автомобиля - 6 ,0 тыс. рублей ООО «Развитие бизнеса»;</w:t>
      </w:r>
      <w:proofErr w:type="gramEnd"/>
    </w:p>
    <w:p w:rsidR="00CF573F" w:rsidRDefault="003E60AC">
      <w:pPr>
        <w:ind w:left="-180" w:firstLine="888"/>
        <w:jc w:val="both"/>
      </w:pPr>
      <w:r>
        <w:t xml:space="preserve">- по коду 130226000 на сумму 13 983,4 тыс. рублей, в </w:t>
      </w:r>
      <w:proofErr w:type="spellStart"/>
      <w:r>
        <w:t>т.ч</w:t>
      </w:r>
      <w:proofErr w:type="spellEnd"/>
      <w:r>
        <w:t>. за разработку проектно-сметной документации, позволяющей приступить к</w:t>
      </w:r>
      <w:r>
        <w:t xml:space="preserve"> производству строительно-монтажных работ на объекте «КНС №2», «КНС №8», предоставленной ООО «Бристоль-Проект» - 4 955,0 тыс. рублей; а также кредиторская задолженность 8 988,4 тыс. рублей перед ООО «Мир строительства» по исполнительным листам за выполненн</w:t>
      </w:r>
      <w:r>
        <w:t>ые работы по капитальному ремонту жилищного фонда и благоустройству территорий, финансирование которых первоначально было запланировано за счет средств бюджета Московской области;</w:t>
      </w:r>
    </w:p>
    <w:p w:rsidR="00CF573F" w:rsidRDefault="003E60AC">
      <w:pPr>
        <w:ind w:left="-180" w:firstLine="709"/>
        <w:jc w:val="both"/>
      </w:pPr>
      <w:r>
        <w:t>- по коду 130231000 на сумму 33 406,0 тыс. рублей – частичная реализация при</w:t>
      </w:r>
      <w:r>
        <w:t>обретения жилых помещений в многоквартирном доме, строительство которого не завершен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Облинвестстрой</w:t>
      </w:r>
      <w:proofErr w:type="spellEnd"/>
      <w:r>
        <w:t>»;</w:t>
      </w:r>
    </w:p>
    <w:p w:rsidR="00CF573F" w:rsidRDefault="003E60AC">
      <w:pPr>
        <w:ind w:left="-180" w:firstLine="709"/>
        <w:jc w:val="both"/>
      </w:pPr>
      <w:r>
        <w:t>- по коду 130234000 на сумму 55,1 тыс. рублей – за дизельное топлив</w:t>
      </w:r>
      <w:proofErr w:type="gramStart"/>
      <w:r>
        <w:t>о ООО</w:t>
      </w:r>
      <w:proofErr w:type="gramEnd"/>
      <w:r>
        <w:t xml:space="preserve"> «АВТОПЕРТОЛЕУМ»;</w:t>
      </w:r>
    </w:p>
    <w:p w:rsidR="00CF573F" w:rsidRDefault="003E60AC">
      <w:pPr>
        <w:ind w:left="-180" w:firstLine="709"/>
        <w:jc w:val="both"/>
      </w:pPr>
      <w:r>
        <w:t>- по коду 130293000 на сумму 20,0 тыс. рублей – за штраф У</w:t>
      </w:r>
      <w:r>
        <w:t>ФК по МО «</w:t>
      </w:r>
      <w:proofErr w:type="spellStart"/>
      <w:r>
        <w:t>Росприроднадзор</w:t>
      </w:r>
      <w:proofErr w:type="spellEnd"/>
      <w:r>
        <w:t>»;</w:t>
      </w:r>
    </w:p>
    <w:p w:rsidR="00CF573F" w:rsidRDefault="003E60AC">
      <w:pPr>
        <w:ind w:left="-180" w:firstLine="709"/>
        <w:jc w:val="both"/>
        <w:rPr>
          <w:highlight w:val="yellow"/>
        </w:rPr>
      </w:pPr>
      <w:proofErr w:type="gramStart"/>
      <w:r>
        <w:t xml:space="preserve">- по коду 130296000 на сумму 7 739,5 тыс. рублей, в </w:t>
      </w:r>
      <w:proofErr w:type="spellStart"/>
      <w:r>
        <w:t>т.ч</w:t>
      </w:r>
      <w:proofErr w:type="spellEnd"/>
      <w:r>
        <w:t>. по исполнительным листам ООО «Бристоль-Проект» - 468,1 тыс. рублей, а также  кредиторская задолженность перед ООО «Мир строительства» на сумму 7 271,4 тыс. рублей по испол</w:t>
      </w:r>
      <w:r>
        <w:t>нительным листам за выполненные работы по капитальному ремонту жилищного фонда и благоустройству территорий, финансирование которых первоначально было запланировано за счет средств бюджета Московской области (проценты</w:t>
      </w:r>
      <w:proofErr w:type="gramEnd"/>
      <w:r>
        <w:t xml:space="preserve"> за пользование чужими денежными средст</w:t>
      </w:r>
      <w:r>
        <w:t>вами – 6 509,1 тыс. рублей; пени – 762,2 тыс. рублей).</w:t>
      </w:r>
      <w:r>
        <w:rPr>
          <w:highlight w:val="yellow"/>
        </w:rPr>
        <w:t xml:space="preserve"> </w:t>
      </w:r>
    </w:p>
    <w:p w:rsidR="00CF573F" w:rsidRDefault="003E60AC">
      <w:pPr>
        <w:ind w:left="-180" w:firstLine="888"/>
        <w:jc w:val="both"/>
      </w:pPr>
      <w:r>
        <w:t xml:space="preserve">По коду </w:t>
      </w:r>
      <w:r>
        <w:rPr>
          <w:b/>
        </w:rPr>
        <w:t xml:space="preserve">130300000 </w:t>
      </w:r>
      <w:r>
        <w:t>составила 7 691,50 рублей, в том числе:</w:t>
      </w:r>
    </w:p>
    <w:p w:rsidR="00CF573F" w:rsidRDefault="003E60AC">
      <w:pPr>
        <w:ind w:firstLine="708"/>
        <w:jc w:val="both"/>
      </w:pPr>
      <w:r>
        <w:t xml:space="preserve">- по коду 130305000 на сумму 7,7 тыс. рублей – транспортный налог за 4 квартал 2019 года. </w:t>
      </w:r>
    </w:p>
    <w:p w:rsidR="00CF573F" w:rsidRDefault="003E60AC">
      <w:pPr>
        <w:ind w:firstLine="708"/>
        <w:jc w:val="both"/>
      </w:pPr>
      <w:r>
        <w:t>Просроченная дебиторская и кредиторская задолженнос</w:t>
      </w:r>
      <w:r>
        <w:t>ти согласно данным отчета «Сведения по дебиторской и кредиторской задолженности по форме № 0503169 отсутствует.</w:t>
      </w:r>
    </w:p>
    <w:p w:rsidR="00CF573F" w:rsidRDefault="003E60AC">
      <w:pPr>
        <w:jc w:val="center"/>
        <w:rPr>
          <w:b/>
        </w:rPr>
      </w:pPr>
      <w:r>
        <w:rPr>
          <w:b/>
        </w:rPr>
        <w:t>Выводы и предложения.</w:t>
      </w:r>
    </w:p>
    <w:p w:rsidR="00CF573F" w:rsidRDefault="00CF573F">
      <w:pPr>
        <w:ind w:left="720"/>
        <w:jc w:val="both"/>
        <w:rPr>
          <w:b/>
        </w:rPr>
      </w:pPr>
    </w:p>
    <w:p w:rsidR="00CF573F" w:rsidRDefault="003E60AC">
      <w:pPr>
        <w:ind w:firstLine="851"/>
        <w:jc w:val="both"/>
      </w:pPr>
      <w:r>
        <w:t xml:space="preserve">1. Отчет об исполнении бюджета городского поселения Сергиев Посад за 2019 год представлен Администрацией </w:t>
      </w:r>
      <w:r>
        <w:t>Сергиево-Посадского муниципального района с соблюдением требований по объему и срокам представления.</w:t>
      </w:r>
    </w:p>
    <w:p w:rsidR="00CF573F" w:rsidRDefault="003E60AC">
      <w:pPr>
        <w:ind w:firstLine="851"/>
        <w:jc w:val="both"/>
      </w:pPr>
      <w:r>
        <w:t>2. При проверке соотношений форм бюджетной отчетности установлено, что отчетность не имеет расхождения между формами бюджетной отчетности.</w:t>
      </w:r>
    </w:p>
    <w:p w:rsidR="00CF573F" w:rsidRDefault="003E60AC">
      <w:pPr>
        <w:ind w:firstLine="851"/>
        <w:jc w:val="both"/>
      </w:pPr>
      <w:r>
        <w:t>3. По итогам исп</w:t>
      </w:r>
      <w:r>
        <w:t>олнения бюджета за 2019 год доход исполнен в сумме 1 169 467,2 тыс. рублей, уточненный план исполнен на 92,3%. Основу доходной части бюджета городского поселения Сергиев Посад составляют:</w:t>
      </w:r>
    </w:p>
    <w:p w:rsidR="00CF573F" w:rsidRDefault="003E60AC">
      <w:pPr>
        <w:ind w:firstLine="851"/>
        <w:jc w:val="both"/>
      </w:pPr>
      <w:r>
        <w:t xml:space="preserve">- налоговые доходы бюджета в объеме 735 451,0 тыс. рублей или 101,6 </w:t>
      </w:r>
      <w:r>
        <w:t>% от общего объема доходов бюджета;</w:t>
      </w:r>
    </w:p>
    <w:p w:rsidR="00CF573F" w:rsidRDefault="003E60AC">
      <w:pPr>
        <w:ind w:firstLine="851"/>
        <w:jc w:val="both"/>
      </w:pPr>
      <w:r>
        <w:lastRenderedPageBreak/>
        <w:t>- неналоговые доходы в объеме 115 435,1 тыс. рублей или 94,9 % от общего объема доходов бюджета;</w:t>
      </w:r>
    </w:p>
    <w:p w:rsidR="00CF573F" w:rsidRDefault="003E60AC">
      <w:pPr>
        <w:ind w:firstLine="851"/>
        <w:jc w:val="both"/>
      </w:pPr>
      <w:r>
        <w:t>- безвозмездные поступления в объеме 318 581,1 тыс. рублей или 75,7 % от общего объема доходов бюджета.</w:t>
      </w:r>
    </w:p>
    <w:p w:rsidR="00CF573F" w:rsidRDefault="003E60AC">
      <w:pPr>
        <w:ind w:firstLine="851"/>
        <w:jc w:val="both"/>
      </w:pPr>
      <w:r>
        <w:t>4. Исполнение бюдже</w:t>
      </w:r>
      <w:r>
        <w:t>та городского поселения Сергиев Посад в 2019 году по расходам составило 1 379 850,7 тыс. рублей или 93,2% от уточненного плана.</w:t>
      </w:r>
    </w:p>
    <w:p w:rsidR="00CF573F" w:rsidRDefault="003E60AC">
      <w:pPr>
        <w:ind w:firstLine="709"/>
        <w:jc w:val="both"/>
      </w:pPr>
      <w:r>
        <w:t>5. Низкий процент освоения составляют расходы по разделу</w:t>
      </w:r>
      <w:r>
        <w:rPr>
          <w:b/>
        </w:rPr>
        <w:t xml:space="preserve"> </w:t>
      </w:r>
      <w:r>
        <w:t>«Охрана окружающей среды» - 0%. Указанные средства направлены на провед</w:t>
      </w:r>
      <w:r>
        <w:t>ение работ по строительству и реконструкции объектов очистки сточных вод. Расходы в отчетном периоде не производились в связи с переносом срока выполнения данных работ на 2020 год.</w:t>
      </w:r>
    </w:p>
    <w:p w:rsidR="00CF573F" w:rsidRDefault="003E60AC">
      <w:pPr>
        <w:ind w:firstLine="708"/>
        <w:jc w:val="both"/>
      </w:pPr>
      <w:r>
        <w:t>Более 90% исполнены бюджетные назначения по разделам: «Национальная безопас</w:t>
      </w:r>
      <w:r>
        <w:t>ность и правоохранительная деятельность» 98,5%; «Национальная экономика» 98,2%; «Культура, кинематография» 100%; «Образование» -100%; «Социальная политика» 98,1%; «Физическая культура и спорт» 100%; «Средства массовой информации» 99,9%.</w:t>
      </w:r>
    </w:p>
    <w:p w:rsidR="00CF573F" w:rsidRDefault="003E60AC">
      <w:pPr>
        <w:ind w:firstLine="851"/>
        <w:jc w:val="both"/>
      </w:pPr>
      <w:r>
        <w:t xml:space="preserve">6. По состоянию на </w:t>
      </w:r>
      <w:r>
        <w:t>01.01.2020 размер муниципального долга составил 95 000,0 тыс. рублей.</w:t>
      </w:r>
    </w:p>
    <w:p w:rsidR="00CF573F" w:rsidRDefault="003E60AC">
      <w:pPr>
        <w:ind w:firstLine="851"/>
        <w:jc w:val="both"/>
      </w:pPr>
      <w:r>
        <w:t xml:space="preserve">7. В 2019 году за счет средств бюджета городского поселения Сергиев Посад финансировалось 13 муниципальных программ. Кассовое исполнение бюджета по расходам на осуществление мероприятий </w:t>
      </w:r>
      <w:r>
        <w:t>по муниципальным программам, предусмотренным за счет средств бюджета городского поселения Сергиев Посад в 2019 году, сложилось в размере 1 349 102,8 тыс. рублей или 90,6% объема уточненных назначений бюджетных ассигнований (1 489 468,5 тыс. рублей).</w:t>
      </w:r>
    </w:p>
    <w:p w:rsidR="00CF573F" w:rsidRDefault="003E60AC">
      <w:pPr>
        <w:ind w:firstLine="851"/>
        <w:jc w:val="both"/>
      </w:pPr>
      <w:r>
        <w:t>8. При</w:t>
      </w:r>
      <w:r>
        <w:t xml:space="preserve"> условии достижения целевых показателей муниципальных программ исполнение программных назначений можно считать достаточными.</w:t>
      </w:r>
    </w:p>
    <w:p w:rsidR="00CF573F" w:rsidRDefault="003E60AC">
      <w:pPr>
        <w:ind w:firstLine="851"/>
        <w:jc w:val="both"/>
      </w:pPr>
      <w:r>
        <w:t>9. Отсутствует просроченная кредиторская задолженность на оплату труда с начислениями, что является одним из положительных факторов</w:t>
      </w:r>
      <w:r>
        <w:t xml:space="preserve"> оценки исполнения городского бюджета.</w:t>
      </w:r>
    </w:p>
    <w:p w:rsidR="00CF573F" w:rsidRDefault="00CF573F">
      <w:pPr>
        <w:ind w:firstLine="851"/>
        <w:jc w:val="both"/>
      </w:pPr>
    </w:p>
    <w:p w:rsidR="00CF573F" w:rsidRDefault="003E60AC">
      <w:pPr>
        <w:ind w:firstLine="851"/>
        <w:jc w:val="both"/>
      </w:pPr>
      <w:r>
        <w:t>По результатам проведенной проверки отчета об исполнении бюджета городского поселения Сергиев Посад Сергиево-Посадского муниципального района за 2019 год Контрольно-счетная палата Сергиево-Посадского городского округ</w:t>
      </w:r>
      <w:r>
        <w:t>а предлагает Совету депутатов Сергиево-Посадского городского округа отчет «Об исполнении бюджета городского поселения Сергиев-Посад за 2019 год» принять к рассмотрению.</w:t>
      </w:r>
    </w:p>
    <w:p w:rsidR="00CF573F" w:rsidRDefault="00CF573F">
      <w:pPr>
        <w:jc w:val="both"/>
      </w:pPr>
    </w:p>
    <w:p w:rsidR="00CF573F" w:rsidRDefault="00CF573F">
      <w:pPr>
        <w:ind w:left="720"/>
        <w:jc w:val="both"/>
      </w:pPr>
    </w:p>
    <w:p w:rsidR="00CF573F" w:rsidRDefault="003E60AC">
      <w:pPr>
        <w:ind w:left="360" w:hanging="360"/>
        <w:jc w:val="both"/>
      </w:pPr>
      <w:r>
        <w:t xml:space="preserve">Заместитель Председателя </w:t>
      </w:r>
      <w:proofErr w:type="gramStart"/>
      <w:r>
        <w:t>Контрольно-счетной</w:t>
      </w:r>
      <w:proofErr w:type="gramEnd"/>
    </w:p>
    <w:p w:rsidR="00CF573F" w:rsidRDefault="003E60AC">
      <w:pPr>
        <w:ind w:left="360" w:hanging="360"/>
        <w:jc w:val="both"/>
      </w:pPr>
      <w:r>
        <w:t xml:space="preserve">палаты                                   </w:t>
      </w:r>
      <w:r>
        <w:t xml:space="preserve">                                                                                    </w:t>
      </w:r>
      <w:proofErr w:type="spellStart"/>
      <w:r>
        <w:t>Е.К.Степанова</w:t>
      </w:r>
      <w:proofErr w:type="spellEnd"/>
    </w:p>
    <w:sectPr w:rsidR="00CF573F">
      <w:headerReference w:type="default" r:id="rId10"/>
      <w:footerReference w:type="default" r:id="rId11"/>
      <w:pgSz w:w="11906" w:h="16838"/>
      <w:pgMar w:top="851" w:right="746" w:bottom="85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AC" w:rsidRDefault="003E60AC">
      <w:r>
        <w:separator/>
      </w:r>
    </w:p>
  </w:endnote>
  <w:endnote w:type="continuationSeparator" w:id="0">
    <w:p w:rsidR="003E60AC" w:rsidRDefault="003E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3F" w:rsidRDefault="003E60AC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1C67BE">
      <w:rPr>
        <w:noProof/>
      </w:rPr>
      <w:t>1</w:t>
    </w:r>
    <w:r>
      <w:fldChar w:fldCharType="end"/>
    </w:r>
  </w:p>
  <w:p w:rsidR="00CF573F" w:rsidRDefault="00CF573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AC" w:rsidRDefault="003E60AC">
      <w:r>
        <w:separator/>
      </w:r>
    </w:p>
  </w:footnote>
  <w:footnote w:type="continuationSeparator" w:id="0">
    <w:p w:rsidR="003E60AC" w:rsidRDefault="003E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3F" w:rsidRDefault="00CF57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D0C"/>
    <w:multiLevelType w:val="multilevel"/>
    <w:tmpl w:val="73DC4BFC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D7FC2"/>
    <w:multiLevelType w:val="multilevel"/>
    <w:tmpl w:val="074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E151E"/>
    <w:multiLevelType w:val="multilevel"/>
    <w:tmpl w:val="968AA448"/>
    <w:lvl w:ilvl="0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63F24"/>
    <w:multiLevelType w:val="multilevel"/>
    <w:tmpl w:val="2746F3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283D06"/>
    <w:multiLevelType w:val="multilevel"/>
    <w:tmpl w:val="84C02A9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73F"/>
    <w:rsid w:val="001C67BE"/>
    <w:rsid w:val="003E60AC"/>
    <w:rsid w:val="00623FC5"/>
    <w:rsid w:val="009D557D"/>
    <w:rsid w:val="00C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Symbol" w:hAnsi="Symbol" w:cs="Symbol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4">
    <w:name w:val="WW8Num37z4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b/>
    </w:rPr>
  </w:style>
  <w:style w:type="character" w:customStyle="1" w:styleId="WW8Num45z1">
    <w:name w:val="WW8Num45z1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40">
    <w:name w:val="Заголовок 4 Знак"/>
    <w:qFormat/>
    <w:rPr>
      <w:b/>
      <w:bCs/>
      <w:sz w:val="24"/>
      <w:szCs w:val="24"/>
    </w:rPr>
  </w:style>
  <w:style w:type="character" w:customStyle="1" w:styleId="a6">
    <w:name w:val="Название Знак"/>
    <w:qFormat/>
    <w:rPr>
      <w:rFonts w:eastAsia="MS Mincho;ＭＳ 明朝"/>
      <w:spacing w:val="-10"/>
      <w:sz w:val="26"/>
      <w:shd w:val="clear" w:color="auto" w:fill="FFFFFF"/>
    </w:rPr>
  </w:style>
  <w:style w:type="character" w:customStyle="1" w:styleId="InternetLink">
    <w:name w:val="Internet Link"/>
    <w:rPr>
      <w:strike w:val="0"/>
      <w:dstrike w:val="0"/>
      <w:color w:val="3272C0"/>
      <w:u w:val="none"/>
      <w:shd w:val="clear" w:color="auto" w:fill="auto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Основной текст Знак"/>
    <w:qFormat/>
    <w:rPr>
      <w:sz w:val="24"/>
      <w:szCs w:val="24"/>
      <w:lang w:val="en-US"/>
    </w:rPr>
  </w:style>
  <w:style w:type="paragraph" w:customStyle="1" w:styleId="Heading">
    <w:name w:val="Heading"/>
    <w:basedOn w:val="a"/>
    <w:next w:val="a0"/>
    <w:qFormat/>
    <w:pPr>
      <w:widowControl w:val="0"/>
      <w:shd w:val="clear" w:color="auto" w:fill="FFFFFF"/>
      <w:autoSpaceDE w:val="0"/>
      <w:spacing w:before="202" w:line="274" w:lineRule="exact"/>
      <w:ind w:right="-29" w:firstLine="583"/>
      <w:jc w:val="center"/>
    </w:pPr>
    <w:rPr>
      <w:rFonts w:eastAsia="MS Mincho;ＭＳ 明朝"/>
      <w:spacing w:val="-10"/>
      <w:sz w:val="26"/>
      <w:szCs w:val="20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Базовый"/>
    <w:qFormat/>
    <w:pPr>
      <w:tabs>
        <w:tab w:val="left" w:pos="709"/>
      </w:tabs>
      <w:suppressAutoHyphens/>
      <w:spacing w:line="100" w:lineRule="atLeast"/>
    </w:pPr>
    <w:rPr>
      <w:rFonts w:eastAsia="Times New Roman" w:cs="Times New Roman"/>
      <w:color w:val="00000A"/>
      <w:szCs w:val="20"/>
      <w:lang w:val="ru-RU" w:bidi="ar-SA"/>
    </w:rPr>
  </w:style>
  <w:style w:type="paragraph" w:styleId="ad">
    <w:name w:val="List Paragraph"/>
    <w:basedOn w:val="ac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rteleft1">
    <w:name w:val="rteleft1"/>
    <w:basedOn w:val="a"/>
    <w:qFormat/>
    <w:pPr>
      <w:spacing w:before="280" w:after="280"/>
    </w:p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Arial" w:eastAsia="Lucida Sans Unicode" w:hAnsi="Arial" w:cs="Calibri"/>
      <w:kern w:val="2"/>
      <w:sz w:val="22"/>
      <w:szCs w:val="22"/>
      <w:lang w:val="ru-RU"/>
    </w:rPr>
  </w:style>
  <w:style w:type="paragraph" w:customStyle="1" w:styleId="s9">
    <w:name w:val="s_9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.%20sp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</TotalTime>
  <Pages>15</Pages>
  <Words>5910</Words>
  <Characters>33688</Characters>
  <Application>Microsoft Office Word</Application>
  <DocSecurity>0</DocSecurity>
  <Lines>280</Lines>
  <Paragraphs>79</Paragraphs>
  <ScaleCrop>false</ScaleCrop>
  <Company/>
  <LinksUpToDate>false</LinksUpToDate>
  <CharactersWithSpaces>39519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VAIO</cp:lastModifiedBy>
  <cp:revision>262</cp:revision>
  <cp:lastPrinted>2019-05-21T10:27:00Z</cp:lastPrinted>
  <dcterms:created xsi:type="dcterms:W3CDTF">2016-04-11T10:07:00Z</dcterms:created>
  <dcterms:modified xsi:type="dcterms:W3CDTF">2020-04-29T11:07:00Z</dcterms:modified>
  <dc:language>en-US</dc:language>
</cp:coreProperties>
</file>